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SUCH</w:t>
            </w:r>
          </w:p>
          <w:p w:rsidR="00C275A3" w:rsidRDefault="00A96AEC" w:rsidP="00C275A3">
            <w:pPr>
              <w:pStyle w:val="Hallgatokepzes"/>
            </w:pPr>
            <w:r>
              <w:t>Animal Husbandry Engineering</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Adan Bartos, PhD</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digestion corrective herb's effects on the digestibility of equine fodder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previously knew the Fitocavallo NOSPAS’s usual, corrective effect on the digestion of the horses. But we have less information about how this product influences digestibility of the fodders, mainly the hay’s digestibility, and what kind of influences it has on the digestibility of other nutrients one by one. In our experiment, we were looking for the answer of these questions.</w:t>
      </w:r>
      <w:r>
        <w:rPr>
          <w:color w:val="000000"/>
          <w:sz w:val="24"/>
          <w:szCs w:val="24"/>
        </w:rPr>
        <w:br/>
        <w:t xml:space="preserve">We made this experiment in the riding school of the University of Pannonia Georgikon Faculty. We had ten horses in the experiment, and we randomly divided them into two groups. Before the experiment we gave grass hay ad libitum, and 0,25 kg damp oat two times a day. We took the first faeces sample three days after the start of the experiment. There was no need for longer habituation, because the horses got this kind of fodder earlier too. The sampling happened on two consecutive days, and we made average samples by every horse. After sampling we completed the groups fodder with 30g herb mixture. Seven days after that we repeated the sampling, we did it just like the first time.</w:t>
      </w:r>
      <w:r>
        <w:rPr>
          <w:color w:val="000000"/>
          <w:sz w:val="24"/>
          <w:szCs w:val="24"/>
        </w:rPr>
        <w:br/>
        <w:t xml:space="preserve">After sampling, we appointed the hay’s and the faeces’ dry matter, crude protein, crude fibre, crude fat, crude ash, and in acid insoluble ash content, we used the last one as an indicator by the determination of the digestive coefficient.</w:t>
      </w:r>
      <w:r>
        <w:rPr>
          <w:color w:val="000000"/>
          <w:sz w:val="24"/>
          <w:szCs w:val="24"/>
        </w:rPr>
        <w:br/>
        <w:t xml:space="preserve">The horses reacted differently to this product, but all had a positive reaction. We had the biggest individual anomalies by the crude fat in our results, the results for the crude protein, crude fibre, crude ash and dry matter were more uniform. At the end of our experiment, we discovered great difference between the two groups. It is also an important result, that the horses consumed the herb mixture gladly, we experienced fodder refusal only by the beginning of the feeding.</w:t>
      </w:r>
      <w:r>
        <w:rPr>
          <w:color w:val="000000"/>
          <w:sz w:val="24"/>
          <w:szCs w:val="24"/>
        </w:rPr>
        <w:br/>
        <w:t xml:space="preserve">After our results we can conclude that this kind of herb mixtures can be used by horses which leverage the fodder more weakly than the others for improving the fodder utilization. The herb mixture can have great value by the forages, mainly by the hay types, it can particularly compensate their damage, because their quality is often bad (they are old, or they are stored on wrong places).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57902">
    <w:multiLevelType w:val="hybridMultilevel"/>
    <w:lvl w:ilvl="0" w:tplc="30351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57902">
    <w:abstractNumId w:val="59557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057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