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PAPP</w:t>
            </w:r>
          </w:p>
          <w:p w:rsidR="00C275A3" w:rsidRDefault="00A96AEC" w:rsidP="00C275A3">
            <w:pPr>
              <w:pStyle w:val="Hallgatokepzes"/>
            </w:pPr>
            <w:r>
              <w:t>Kindergartenpädagoge, deutsche nationalitäten Fachrichtung</w:t>
            </w:r>
            <w:r>
              <w:br/>
            </w:r>
            <w:r w:rsidR="00E77B23">
              <w:t>BA, 5. semester</w:t>
            </w:r>
          </w:p>
          <w:p w:rsidR="00C265CE" w:rsidRPr="009E5FF1" w:rsidRDefault="00E77B23" w:rsidP="00C275A3">
            <w:pPr>
              <w:pStyle w:val="Hallgatokepzes"/>
              <w:rPr>
                <w:b/>
                <w:caps/>
              </w:rPr>
            </w:pPr>
            <w:r>
              <w:t>Eötvös József Hochschule</w:t>
            </w:r>
            <w:r w:rsidR="00C275A3">
              <w:br/>
            </w:r>
            <w:r w:rsidR="00DB4822">
              <w:t>Fakultät für Erziehungswissenschaften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Jäger-Manz PhD</w:t>
            </w:r>
          </w:p>
          <w:p w:rsidR="00DB4822" w:rsidRDefault="00DB4822" w:rsidP="00E11062">
            <w:pPr>
              <w:pStyle w:val="Konzulensek"/>
            </w:pPr>
            <w:r w:rsidRPr="00DB4822">
              <w:t>Hochschulprofessorin, EJF Szegedi Campus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Das Leben der Behinderten: Integration in die Gesellschaft schon im Kindergarten (Ergebnisse einer kontrastiven Forschung)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meiner Arbeit „Das Leben der Behinderten: Integration in die Gesellschaft schon in dem Kindergarten” habe ich die Vorurteile, Meinungen, Erfahrungen und Einstellungen der Pädagogen und der Eltern, sowie der Kinder über die Integration behinderter Kinder in Deutschland, in der Stadt von Bad Nauheim in der Kindertagesstätte „Am Hochwald“ und in Ungarn, in dem Kindergarten meines Wohnortes, in Olasz unter die Lupe genommen.</w:t>
      </w:r>
    </w:p>
    <w:p>
      <w:pPr>
        <w:widowControl w:val="on"/>
        <w:pBdr/>
        <w:spacing w:before="240" w:after="240" w:line="240" w:lineRule="auto"/>
        <w:ind w:left="0" w:right="0"/>
        <w:jc w:val="left"/>
      </w:pPr>
      <w:r>
        <w:rPr>
          <w:color w:val="000000"/>
          <w:sz w:val="24"/>
          <w:szCs w:val="24"/>
        </w:rPr>
        <w:t xml:space="preserve">In dem ersten Teil habe ich meine Hypothesen formuliert, die als Leitfaden während meiner Arbeit geleitet haben, unzwar der Maß der Akzeptanz, was von den Teilhabern der Integrationsprozess akzeptiert wird, und hauptsächlich der Unterschied zwischen den ungarischen und deutschen Auffassung, was die Integration bzw. Inklusion betrifft. In dem Teil von theoretischem Hintergrund habe ich die allgemein anerkannte Definitionen von Integration und Inklusion dargestellt, und das Hauptgedanken über das Thema formuliert.</w:t>
      </w:r>
    </w:p>
    <w:p>
      <w:pPr>
        <w:widowControl w:val="on"/>
        <w:pBdr/>
        <w:spacing w:before="240" w:after="240" w:line="240" w:lineRule="auto"/>
        <w:ind w:left="0" w:right="0"/>
        <w:jc w:val="left"/>
      </w:pPr>
      <w:r>
        <w:rPr>
          <w:color w:val="000000"/>
          <w:sz w:val="24"/>
          <w:szCs w:val="24"/>
        </w:rPr>
        <w:t xml:space="preserve">In meiner Arbeit hat die Habilitation und Rehabilitation als die Prozesse der erfolgreichen Eingliederung und Gesamterziehung eine wichtige Rolle übernommen. Die Einrichtungen, die behinderte Kinder integriert erziehen, handeln die beiden Begriffe als Grundlagen der Erziehung und Förderung. Ich habe die beiden Begriffe sowohl aus theoretischer, als auch aus praktischer Sicht unter die Lupe genommen, und deren Bedeutung in den Alltagen betont.</w:t>
      </w:r>
    </w:p>
    <w:p>
      <w:pPr>
        <w:widowControl w:val="on"/>
        <w:pBdr/>
        <w:spacing w:before="240" w:after="240" w:line="240" w:lineRule="auto"/>
        <w:ind w:left="0" w:right="0"/>
        <w:jc w:val="left"/>
      </w:pPr>
      <w:r>
        <w:rPr>
          <w:color w:val="000000"/>
          <w:sz w:val="24"/>
          <w:szCs w:val="24"/>
        </w:rPr>
        <w:t xml:space="preserve">Über die Forschung kann behauptet werden, dass es eine kontrastive Auseinandersetzung der deutschen und ungarischen Relationen ist. Vor der Erörterung der Fragebogenerhebung habe ich den theoretischen Hintergrund der pädagogischen Arbeit der einzelnen Einrichtungen untersucht, und die Dokumente der Erziehung analysiert. Die wichtigste Punkte, die sich auf die Integration beziehen, wurden heraushoben, um die juristischen und theoretischen Hintergrund der pädagogischen Tätigkeit darzustellen. Die interessanten subjektiven Meinungen der Eltern lege ich auf einen hohen Wert, mehrere Meinungen daraus sind auch in den Anhang zu lesen. Den Teil der kontrastiven Analyse habe ich mit einem Diagramm erweitert, wo die eventuellen Unterschiede besser zu sehen sind, bevor ich die Arbeit und die Ergebnisse in dem letzten Teil zusammenfasse.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46038">
    <w:multiLevelType w:val="hybridMultilevel"/>
    <w:lvl w:ilvl="0" w:tplc="76224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46038">
    <w:abstractNumId w:val="72546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902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