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ZSANNA PÁLNOK</w:t>
            </w:r>
          </w:p>
          <w:p w:rsidR="00C275A3" w:rsidRDefault="00A96AEC" w:rsidP="00C275A3">
            <w:pPr>
              <w:pStyle w:val="Hallgatokepzes"/>
            </w:pPr>
            <w:r>
              <w:t>Teaching pedagogy</w:t>
            </w:r>
            <w:r>
              <w:br/>
            </w:r>
            <w:r w:rsidR="00E77B23">
              <w:t>BA, 5. semester</w:t>
            </w:r>
          </w:p>
          <w:p w:rsidR="00C265CE" w:rsidRPr="009E5FF1" w:rsidRDefault="00E77B23" w:rsidP="00C275A3">
            <w:pPr>
              <w:pStyle w:val="Hallgatokepzes"/>
              <w:rPr>
                <w:b/>
                <w:caps/>
              </w:rPr>
            </w:pPr>
            <w:r>
              <w:t>Eötvös József College</w:t>
            </w:r>
            <w:r w:rsidR="00C275A3">
              <w:br/>
            </w:r>
            <w:r w:rsidR="00DB4822">
              <w:t/>
            </w:r>
          </w:p>
        </w:tc>
        <w:tc>
          <w:tcPr>
            <w:tcW w:w="4914" w:type="dxa"/>
          </w:tcPr>
          <w:p w:rsidR="00DB4822" w:rsidRPr="00DB4822" w:rsidRDefault="00DB4822" w:rsidP="004D7940">
            <w:pPr>
              <w:pStyle w:val="Hallgatonev"/>
              <w:rPr>
                <w:caps/>
              </w:rPr>
            </w:pPr>
            <w:r w:rsidRPr="00DB4822">
              <w:rPr>
                <w:caps/>
              </w:rPr>
              <w:t>BOGLÁRKA VIDA</w:t>
            </w:r>
          </w:p>
          <w:p w:rsidR="00DB4822" w:rsidRDefault="00C275A3" w:rsidP="004D7940">
            <w:pPr>
              <w:pStyle w:val="Hallgatokepzes"/>
            </w:pPr>
            <w:r>
              <w:t>Teaching pedagogy</w:t>
            </w:r>
            <w:r w:rsidR="00A96AEC">
              <w:br/>
              <w:t>BA, 5. semester</w:t>
            </w:r>
          </w:p>
          <w:p w:rsidR="00DB4822" w:rsidRDefault="00DB4822" w:rsidP="004D7940">
            <w:pPr>
              <w:pStyle w:val="Hallgatointezmeny-kar"/>
            </w:pPr>
            <w:r>
              <w:t>Eötvös József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 Kovács-Bakonyi PhD</w:t>
            </w:r>
          </w:p>
          <w:p w:rsidR="00DB4822" w:rsidRDefault="00DB4822" w:rsidP="00E11062">
            <w:pPr>
              <w:pStyle w:val="Konzulensek"/>
            </w:pPr>
            <w:r w:rsidRPr="00DB4822">
              <w:t>associate professor,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might a castle hide? Analysis of compositions by fourth graders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Based on Mrs Klara Csakberenyi’s treatise Characteristics of elementary school compositions we analysed the characteristics of compositions of elementary school fourth graders. We looked at what connection the theme of the castle had for ten to eleven year olds. We needed compositions with the same topic. We analysed the abilities of children from two different types of settlements. One survey was conducted at our College’s training school, the Jozsef Eotvos College Elementary Training School and the other was at a small village in the province of Tolna, Batan at Janos Hunyadi Elementary School. The children received the same instructions as Mrs Klara Csakberenyi’s: The heading: The Castle The situation: A child turning a corner while walking to school noticed an enormous castle that had never been there before. On his arrival the doors open. The child enters. Continue the story! Who does the child meet inside? What happens in the castle? The compositions were written during school to ensure that they are authentic. We grouped the elements in the compositions into three categories: location, subject and players; then we divided these into two main groups. In one group all castle related relevant elements were placed, and in the other all irrelevant elements were placed. In order to examine the social background or rather the influence that the child’s experience had on the elements shown in the composition, we asked the pupils and their parents to complete a questionnaire. On completion of the questionnaire the children had the opportunity to draw the castle that they had described in their composition.</w:t>
      </w:r>
    </w:p>
    <w:p>
      <w:pPr>
        <w:widowControl w:val="on"/>
        <w:pBdr/>
        <w:spacing w:before="240" w:after="240" w:line="240" w:lineRule="auto"/>
        <w:ind w:left="0" w:right="0"/>
        <w:jc w:val="left"/>
      </w:pPr>
      <w:r>
        <w:rPr>
          <w:color w:val="000000"/>
          <w:sz w:val="24"/>
          <w:szCs w:val="24"/>
        </w:rPr>
        <w:t xml:space="preserve">Some pupils deviated from the topic even though the instructions prior to writing the compositions were clear, at least to most of the participating children. This though was not a problem as in this there is no such thing as a ”wrong solution” only a composition where the themes’ irrelevant elements were multiplied.</w:t>
      </w:r>
    </w:p>
    <w:p>
      <w:pPr>
        <w:widowControl w:val="on"/>
        <w:pBdr/>
        <w:spacing w:before="240" w:after="240" w:line="240" w:lineRule="auto"/>
        <w:ind w:left="0" w:right="0"/>
        <w:jc w:val="left"/>
      </w:pPr>
      <w:r>
        <w:rPr>
          <w:color w:val="000000"/>
          <w:sz w:val="24"/>
          <w:szCs w:val="24"/>
        </w:rPr>
        <w:t xml:space="preserve">Our results: those children who grew up and prefer fairy tales as presented on television displayed a far more limited vocabulary and imagination than those that read frequently and had stories read to them. The pupils’ communication is determined by their residential lifestyle and habits. When comparing a village in relation to a small town we noticed a great difference.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66078">
    <w:multiLevelType w:val="hybridMultilevel"/>
    <w:lvl w:ilvl="0" w:tplc="8112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66078">
    <w:abstractNumId w:val="64566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969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