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PÉTER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Szinyei Dalma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Páldy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Országos Környezetegészségügyi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szálló por és a troposzférikus ózon egészségkárosító hatásának becslése magyarországi nagyvárosokban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fokozódó urbanizáció és motorizáció eredményeképpen egyre nagyobb népegészségügyi problémát jelent a légszennyező anyagok, különösen a szálló por és a troposzférikus ózon az egészségügyi határértéket meghaladó koncentrációja. A megemelkedett szennyezőanyag-koncentráció fokozott egészségügyi kockázatot jelent a légzőszervi-, keringési megbetegedésben szenvedők számára, valamint egyre növekvő halálozási hajlandóságot okoz. Az Európai Unióban, így Magyarországon is fokozott figyelem irányul a levegő minőségének javítására, ennek hangsúlyozására a 2013. évet a Levegő Évének nyilvánították.</w:t>
      </w:r>
      <w:r>
        <w:rPr>
          <w:color w:val="000000"/>
          <w:sz w:val="24"/>
          <w:szCs w:val="24"/>
        </w:rPr>
        <w:br/>
        <w:t xml:space="preserve">A nemzetközi APHEIS és APHEKOM projekt keretében 25 európai nagyvárosban elemezték a légszennyező anyagok hatását az emberi megbetegedésekre. A vizsgálati módszer továbbfejlesztésével az APHEKOM projekt keretében Magyarországon 14 városban végeztek hatástanulmányokat 2005-től 2010-ig tartó időszakra.</w:t>
      </w:r>
      <w:r>
        <w:rPr>
          <w:color w:val="000000"/>
          <w:sz w:val="24"/>
          <w:szCs w:val="24"/>
        </w:rPr>
        <w:br/>
        <w:t xml:space="preserve">A folyamatnak folyatatásaként a 2011-2013 közötti időszakra végeztem el az egészségügyi hatásbecslést az APHEIS és APHEKOM projekt keretében kidolgozott protokoll alapján Magyarország 15 nagyvárosára. A dolgozatban használt módszerrel az Országos Légszennyezettségi Mérőhálózat (OLM) városi háttérállomásainak adataiból és a nemzetközi vizsgálatok alapján megállapított kockázati értékek felhasználásával becsülhető a szálló por és a troposzférikus ózon koncentrációnak tulajdonítható rövid távú és hosszú távú többlethalálozás. A számításokat különböző, a szennyezőanyagok csökkentésére vonatkozó forgatókönyvek alapján végeztem halálozási és kórházi betegfelvételi adatok felhasználásával.</w:t>
      </w:r>
      <w:r>
        <w:rPr>
          <w:color w:val="000000"/>
          <w:sz w:val="24"/>
          <w:szCs w:val="24"/>
        </w:rPr>
        <w:br/>
        <w:t xml:space="preserve">Az elvégzett környezet-egészségügyi hatásbecslés eredményei alapján megállapítható, hogy mind rövid, mind hosszú távon szükséges és ajánlatos a levegőminőség javítása, ugyanis a szálló por és a troposzférikus ózon éves átlagkoncentrációjának 5 μg/m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-rel történő csökkentése is jelentősen mérsékelné az elhalálozások számát. Az alacsonyabb ózonkoncentráció leginkább a 65 év feletti korosztály légzőszervi megbetegedéseinek esetszámát csökkentené. Azonban a szálló por 2,5 mikrométeres átmérőnél kisebb frakciója (PM</w:t>
      </w:r>
      <w:r>
        <w:rPr>
          <w:color w:val="000000"/>
          <w:position w:val="-4"/>
          <w:sz w:val="21"/>
          <w:szCs w:val="21"/>
          <w:vertAlign w:val="subscript"/>
        </w:rPr>
        <w:t xml:space="preserve">2,5</w:t>
      </w:r>
      <w:r>
        <w:rPr>
          <w:color w:val="000000"/>
          <w:sz w:val="24"/>
          <w:szCs w:val="24"/>
        </w:rPr>
        <w:t xml:space="preserve">) krónikus hatásainak csökkentése járna a legnagyobb egészségügyi nyereséggel, amennyiben sikerülne lecsökkenteni a PM</w:t>
      </w:r>
      <w:r>
        <w:rPr>
          <w:color w:val="000000"/>
          <w:position w:val="-4"/>
          <w:sz w:val="21"/>
          <w:szCs w:val="21"/>
          <w:vertAlign w:val="subscript"/>
        </w:rPr>
        <w:t xml:space="preserve">2,5</w:t>
      </w:r>
      <w:r>
        <w:rPr>
          <w:color w:val="000000"/>
          <w:sz w:val="24"/>
          <w:szCs w:val="24"/>
        </w:rPr>
        <w:t xml:space="preserve"> éves átlagkoncentrációját 10 μg/m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-re. Az eredmények szerint 2011-ben 2624, 2012-ben 1772, 2013-ban 1678 lenne összesen az elkerülhető halálozások száma a vizsgált 15 városban.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09687">
    <w:multiLevelType w:val="hybridMultilevel"/>
    <w:lvl w:ilvl="0" w:tplc="52963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09687">
    <w:abstractNumId w:val="46509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2201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