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ÉVA</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Pirisi, Gábor dr.</w:t>
            </w:r>
          </w:p>
          <w:p w:rsidR="00DB4822" w:rsidRDefault="00DB4822" w:rsidP="00E11062">
            <w:pPr>
              <w:pStyle w:val="Konzulensek"/>
            </w:pPr>
            <w:r w:rsidRPr="00DB4822">
              <w:t>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PERFORATED REGIONS – The spatial problems of shrinking according to the South-Transdanubian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region, as spatial and administrative conception is really in the foreground in nowadays Europe because of the European Union’s administrative system, the NUTS II. Since 1996, Hungary has its own administrative statistic system of regions according to the NUTS system, but these artificially created spatial formations are not self-organised, bottom-up areas, so they can not reflect the real dynamics of regions. The Hungarian regional development differs from the Western-European one. The spatial system has such elements, which obstruct regional development, like the hegemonic role of the capital Budapest, the peripheral position of the other cities in the country, and the disadvantageous and marginalised rural places, which are stuck between the cities, these all are such features, which are against regionalism.</w:t>
      </w:r>
      <w:r>
        <w:rPr>
          <w:color w:val="000000"/>
          <w:sz w:val="24"/>
          <w:szCs w:val="24"/>
        </w:rPr>
        <w:br/>
        <w:t xml:space="preserve">Perforation in the regions is such a phenomenon, which is an effect related to the shrinking spaces. The model was first described in Eastern-Germany on the example of former socialist cities. As the effect of shrinking and structural crisis of the cities, the pattern of the city brakes and structural holes arise in it. In macro spaces perforation happens in bigger scale, the shrinking, degrading settlement groups and areas are dropped out of the regional networks, so they are perforating. The goal of this paper is to find out, where can these perforations be found in the South-Transdanubian region, what are the features of these spaces, and what can the future bring, if these perforated places will spread? Last, but not least, (according to the region definition we will use in the paper, which is the nodal region), can we call the South-Transdanubian region as a real region? Is there one central hub organising the spatial network, or there are only smaller "city regions" with narrow extensions beyond their administrative limits, unable to reach the county borders and connect to each other? The answers of these questions can be used in the future regional planning, not just in the South-Transdanubian, but everywhere among the Hungarian regions.</w:t>
      </w:r>
    </w:p>
    <w:p>
      <w:pPr>
        <w:widowControl w:val="on"/>
        <w:pBdr/>
        <w:spacing w:before="240" w:after="240" w:line="240" w:lineRule="auto"/>
        <w:ind w:left="0" w:right="0"/>
        <w:jc w:val="left"/>
      </w:pPr>
      <w:r>
        <w:rPr>
          <w:color w:val="000000"/>
          <w:sz w:val="24"/>
          <w:szCs w:val="24"/>
        </w:rPr>
        <w:t xml:space="preserve">Keywords: region, shrinking, perforation, spatial structure, South-Transdanubian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31461">
    <w:multiLevelType w:val="hybridMultilevel"/>
    <w:lvl w:ilvl="0" w:tplc="43090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31461">
    <w:abstractNumId w:val="14631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472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