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RÉKA PINTÉR</w:t>
            </w:r>
          </w:p>
          <w:p w:rsidR="00C275A3" w:rsidRDefault="00A96AEC" w:rsidP="00C275A3">
            <w:pPr>
              <w:pStyle w:val="Hallgatokepzes"/>
            </w:pPr>
            <w:r>
              <w:t>Geography</w:t>
            </w:r>
            <w:r>
              <w:br/>
            </w:r>
            <w:r w:rsidR="00E77B23">
              <w:t>MSc, 9.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Csapó</w:t>
            </w:r>
          </w:p>
          <w:p w:rsidR="00DB4822" w:rsidRDefault="00DB4822" w:rsidP="00E11062">
            <w:pPr>
              <w:pStyle w:val="Konzulensek"/>
            </w:pPr>
            <w:r w:rsidRPr="00DB4822">
              <w:t>Assistant professor,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specific touristic territory: the touristic functional change of brownfields, on the basis of Hungarian and international examples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Brownfields have appeared with a growing proportion over the last decades in Hungary, as well as in the international space. Due to the development possibilities, the diversified environmental, social and economic aspects, it is relevant to deal with these territories. In the focus of this research are those Hungarian towns where tourism, recreation was the main direction of the development. During my investigations I selected the rural towns with brownfields; afterwards I was able to precisely separate those where the tourism developments are dominant. An important result of the study is the comparison of the revitalization projects – grouped by the categories of tourism supply –, and the surveying of their efficiency. Moreover, I have revealed the relationship between the geographical location, the level of social-economical-touristic development and the efficiency of the projects in these towns. In order to make a comparison between the national and international practices, two short case studies enrich the thesis. These positive examples are connected to the Upper-Silesian Industrial Region, where I have taken field trips.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600864">
    <w:multiLevelType w:val="hybridMultilevel"/>
    <w:lvl w:ilvl="0" w:tplc="80367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600864">
    <w:abstractNumId w:val="8360086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4719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