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MÁTÉ</w:t>
            </w:r>
          </w:p>
          <w:p w:rsidR="00C275A3" w:rsidRDefault="00A96AEC" w:rsidP="00C275A3">
            <w:pPr>
              <w:pStyle w:val="Hallgatokepzes"/>
            </w:pPr>
            <w:r>
              <w:t>MSc in Landscape Architecture</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Landscape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Csemez</w:t>
            </w:r>
          </w:p>
          <w:p w:rsidR="00DB4822" w:rsidRDefault="00DB4822" w:rsidP="00E11062">
            <w:pPr>
              <w:pStyle w:val="Konzulensek"/>
            </w:pPr>
            <w:r w:rsidRPr="00DB4822">
              <w:t>professor, BCE TÁJK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Biotope network development based on land-use change on the Dévaványai-Ecsegi plains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Dévaványai-Ecsegi plains belong to the Körös–Maros National Park. The areas, formed by secondary salinisation after the river regulation, represent a unique natural value. Between the fragmented saline lands, there are many arable lands under intensive cultivation, and their carrying capacity does not meet modern requirements. The simultaneous presence of agriculture and nature conservation results in generally known conflicts in the area, which could be resolved by proposals for landscape development.</w:t>
      </w:r>
    </w:p>
    <w:p>
      <w:pPr>
        <w:widowControl w:val="on"/>
        <w:pBdr/>
        <w:spacing w:before="240" w:after="240" w:line="240" w:lineRule="auto"/>
        <w:ind w:left="0" w:right="0"/>
        <w:jc w:val="left"/>
      </w:pPr>
      <w:r>
        <w:rPr>
          <w:color w:val="000000"/>
          <w:sz w:val="24"/>
          <w:szCs w:val="24"/>
        </w:rPr>
        <w:t xml:space="preserve">The zonal schemes of the New Hungary Rural Development Programme support farmers on certain, specifically delineated High Natural Value Areas (HNVA) where agricultural utilisation is a particularly important prerequisite to the long-term conservation of wildlife, landscape, and man-made and historical values.</w:t>
      </w:r>
    </w:p>
    <w:p>
      <w:pPr>
        <w:widowControl w:val="on"/>
        <w:pBdr/>
        <w:spacing w:before="240" w:after="240" w:line="240" w:lineRule="auto"/>
        <w:ind w:left="0" w:right="0"/>
        <w:jc w:val="left"/>
      </w:pPr>
      <w:r>
        <w:rPr>
          <w:color w:val="000000"/>
          <w:sz w:val="24"/>
          <w:szCs w:val="24"/>
        </w:rPr>
        <w:t xml:space="preserve">In this study, I look for an answer to how the possibility of land-use can change within HNVAs used for improving the biotope network. The methodology consists of the following four steps:</w:t>
      </w:r>
      <w:r>
        <w:rPr>
          <w:color w:val="000000"/>
          <w:sz w:val="24"/>
          <w:szCs w:val="24"/>
        </w:rPr>
        <w:br/>
        <w:t xml:space="preserve">1. I have built a GIS database based on the HNVAs within the sample area, also taking into account the characteristics of the region and the landscape.</w:t>
      </w:r>
      <w:r>
        <w:rPr>
          <w:color w:val="000000"/>
          <w:sz w:val="24"/>
          <w:szCs w:val="24"/>
        </w:rPr>
        <w:br/>
        <w:t xml:space="preserve">2. Using landscape ecological models, I mapped the current state of the biotope network in the area.</w:t>
      </w:r>
      <w:r>
        <w:rPr>
          <w:color w:val="000000"/>
          <w:sz w:val="24"/>
          <w:szCs w:val="24"/>
        </w:rPr>
        <w:br/>
        <w:t xml:space="preserve">3. Taking into account the characteristics and the development criteria, I made a proposal for land-use changes.</w:t>
      </w:r>
      <w:r>
        <w:rPr>
          <w:color w:val="000000"/>
          <w:sz w:val="24"/>
          <w:szCs w:val="24"/>
        </w:rPr>
        <w:br/>
        <w:t xml:space="preserve">4. With the aid of landscape ecological indicators I compared the current and the proposed land use.</w:t>
      </w:r>
    </w:p>
    <w:p>
      <w:pPr>
        <w:widowControl w:val="on"/>
        <w:pBdr/>
        <w:spacing w:before="240" w:after="240" w:line="240" w:lineRule="auto"/>
        <w:ind w:left="0" w:right="0"/>
        <w:jc w:val="left"/>
      </w:pPr>
      <w:r>
        <w:rPr>
          <w:color w:val="000000"/>
          <w:sz w:val="24"/>
          <w:szCs w:val="24"/>
        </w:rPr>
        <w:t xml:space="preserve">Following this methodology – after changing the variables as needed –, a land-use change concept can be developed for any area. The study confirms the statement that agriculture and nature conservation are not mutually exclusive activities. Prudent land use can prevent area reduction and defragmentation processes, without inferring with violating the interests of the farmers.</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Keywords: HNVA, land-use change, biotope network development, landscape ecology models.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648890">
    <w:multiLevelType w:val="hybridMultilevel"/>
    <w:lvl w:ilvl="0" w:tplc="24267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648890">
    <w:abstractNumId w:val="476488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9706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