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KONYARI</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Juhász PhD</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Tamás Vereb</w:t>
            </w:r>
          </w:p>
          <w:p w:rsidR="00DB4822" w:rsidRDefault="00DB4822" w:rsidP="00E11062">
            <w:pPr>
              <w:pStyle w:val="Konzulensek"/>
            </w:pPr>
            <w:r w:rsidRPr="00DB4822">
              <w:t>technical consultant,  Henkel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Breakaway torque investigation of bolt coupling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studied the coupling strength of Loctite threadlockers and I compared mechanical threadlockers and thread-locking fluids. I have chosen this area, because this procedure can be widely used in the industry as bolt coupling is used in almost all machines.</w:t>
      </w:r>
      <w:r>
        <w:rPr>
          <w:color w:val="000000"/>
          <w:sz w:val="24"/>
          <w:szCs w:val="24"/>
        </w:rPr>
        <w:br/>
        <w:t xml:space="preserve">In the first chapter of my thesis, I introduced the manufacturing company of the studied threadlockers, Henkel and I also described the aims, developments, engineering headquarters and product range of Loctite.</w:t>
      </w:r>
      <w:r>
        <w:rPr>
          <w:color w:val="000000"/>
          <w:sz w:val="24"/>
          <w:szCs w:val="24"/>
        </w:rPr>
        <w:br/>
        <w:t xml:space="preserve">In the second chapter, I listed examples of threadlocking solutions and I characterized the thread-locking fluids. I highlighted the advantages of Loctite threadlockers as compared to the traditional fixing methods.</w:t>
      </w:r>
      <w:r>
        <w:rPr>
          <w:color w:val="000000"/>
          <w:sz w:val="24"/>
          <w:szCs w:val="24"/>
        </w:rPr>
        <w:br/>
        <w:t xml:space="preserve">In the third chapter, I included general information on the used threadlocking technique,within this the hardening mechanism of the applied threadlockers was also described.</w:t>
      </w:r>
      <w:r>
        <w:rPr>
          <w:color w:val="000000"/>
          <w:sz w:val="24"/>
          <w:szCs w:val="24"/>
        </w:rPr>
        <w:br/>
        <w:t xml:space="preserve">In the fourth chapter, the tested bolt and the nuts and the four thread-locking fluids were described. Then, the composition of the measuring system was detailed, which consisted of an instrument for the measurement of the bolt couplings, a measuring amplifier and a software, with the help of which the Spider8 measuring amplifier could evaluate the measured data.</w:t>
      </w:r>
      <w:r>
        <w:rPr>
          <w:color w:val="000000"/>
          <w:sz w:val="24"/>
          <w:szCs w:val="24"/>
        </w:rPr>
        <w:br/>
        <w:t xml:space="preserve">In the fifth chapter, I described the measurement procedure and its steps.</w:t>
      </w:r>
      <w:r>
        <w:rPr>
          <w:color w:val="000000"/>
          <w:sz w:val="24"/>
          <w:szCs w:val="24"/>
        </w:rPr>
        <w:br/>
        <w:t xml:space="preserve">In the sixth chapter, the measured data are presented in tables and diagrams.</w:t>
      </w:r>
      <w:r>
        <w:rPr>
          <w:color w:val="000000"/>
          <w:sz w:val="24"/>
          <w:szCs w:val="24"/>
        </w:rPr>
        <w:br/>
        <w:t xml:space="preserve">In my study, I obtained the following results:</w:t>
      </w:r>
      <w:r>
        <w:rPr>
          <w:color w:val="000000"/>
          <w:sz w:val="24"/>
          <w:szCs w:val="24"/>
        </w:rPr>
        <w:br/>
        <w:t xml:space="preserve">When studying the coupling strength that can be achieved with Loctite threadlockers, I found that Loctite 270 was the strongest from among the four studied thread-locking fluids.</w:t>
      </w:r>
      <w:r>
        <w:rPr>
          <w:color w:val="000000"/>
          <w:sz w:val="24"/>
          <w:szCs w:val="24"/>
        </w:rPr>
        <w:br/>
        <w:t xml:space="preserve">When comparing the mechanical threadlockers and the thread-locking fluids, I found that the thread-locking fluids are more effective in fixing the bolt coupling in machines exposed to strong vibration then the mechanical threadlockers.</w:t>
      </w:r>
      <w:r>
        <w:rPr>
          <w:color w:val="000000"/>
          <w:sz w:val="24"/>
          <w:szCs w:val="24"/>
        </w:rPr>
        <w:br/>
        <w:t xml:space="preserve">The examinations of opened and unopened tubes showed that in the case of Loctite 243, the strength of the coupling was not influenced by the fact how or for how long the tube was used after opening.</w:t>
      </w:r>
      <w:r>
        <w:rPr>
          <w:color w:val="000000"/>
          <w:sz w:val="24"/>
          <w:szCs w:val="24"/>
        </w:rPr>
        <w:br/>
        <w:t xml:space="preserve">The comparison of manual dosaging and the application by a peristaltic feeder showed that the uniform application and the proper amount of the threadlocker are extremely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21701">
    <w:multiLevelType w:val="hybridMultilevel"/>
    <w:lvl w:ilvl="0" w:tplc="53551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21701">
    <w:abstractNumId w:val="62021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365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