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NÁNDOR GOMBOS</w:t>
            </w:r>
          </w:p>
          <w:p w:rsidR="00C275A3" w:rsidRDefault="00A96AEC" w:rsidP="00C275A3">
            <w:pPr>
              <w:pStyle w:val="Hallgatokepzes"/>
            </w:pPr>
            <w:r>
              <w:t>Finance</w:t>
            </w:r>
            <w:r>
              <w:br/>
            </w:r>
            <w:r w:rsidR="00E77B23">
              <w:t>MA, 2.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ZSOLT RÁDÓCZI</w:t>
            </w:r>
          </w:p>
          <w:p w:rsidR="00DB4822" w:rsidRDefault="00C275A3" w:rsidP="004D7940">
            <w:pPr>
              <w:pStyle w:val="Hallgatokepzes"/>
            </w:pPr>
            <w:r>
              <w:t>Finance</w:t>
            </w:r>
            <w:r w:rsidR="00A96AEC">
              <w:br/>
              <w:t>MA, 4.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Hajnalka Ván, PhD</w:t>
            </w:r>
          </w:p>
          <w:p w:rsidR="00DB4822" w:rsidRDefault="00DB4822" w:rsidP="00E11062">
            <w:pPr>
              <w:pStyle w:val="Konzulensek"/>
            </w:pPr>
            <w:r w:rsidRPr="00DB4822">
              <w:t>assistant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industry: can he always make do? The recent year’s effects in the financial statements of the energy trading companies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liberalization, economic crisis, energy industry, financial statement analysis</w:t>
      </w:r>
      <w:r>
        <w:t xml:space="preserve"/>
      </w:r>
    </w:p>
    <w:p>
      <w:pPr>
        <w:widowControl w:val="on"/>
        <w:pBdr/>
        <w:spacing w:before="240" w:after="240" w:line="240" w:lineRule="auto"/>
        <w:ind w:left="0" w:right="0"/>
        <w:jc w:val="left"/>
      </w:pPr>
      <w:r>
        <w:rPr>
          <w:color w:val="000000"/>
          <w:sz w:val="24"/>
          <w:szCs w:val="24"/>
        </w:rPr>
        <w:t xml:space="preserve">The energy industry is a strong, strategic part of the economic, which has been exposed to many various effects in recent years, such as liberalization, crisis and newly introduced taxes. These factors have changed the industry fundamentally. In the sector, the gas and electricity service trading companies have the most direct connection with the society, thus the group of these companies and the economic events, which are happening around them are outstanding and indisputable instruments of the actual political environment. For these reasons the analysis of their financial statements are a significant research area in order to draw conclusions of them, and to recognize their exact economical positions.</w:t>
      </w:r>
      <w:r>
        <w:rPr>
          <w:color w:val="000000"/>
          <w:sz w:val="24"/>
          <w:szCs w:val="24"/>
        </w:rPr>
        <w:br/>
        <w:t xml:space="preserve">The main goal of our analysis is to test accurately the effects of such macroeconomics factors, like liberalization, crisis and the newly introduced taxes in the financial statements of the energy companies. We want to find out, whether these factors can be demonstrated with the instruments of the complex analysis of financial statements, and the factors, mentioned in the economical literature are in correlation with the data of the financial statements. For instrument we chose the complex analysis of the financial statements, in which we tested different types of statistical and accounting indicators on the asset, financial and profit positions of the 12 energy trading companies along the 9 factors, which has been outlined before.</w:t>
      </w:r>
      <w:r>
        <w:rPr>
          <w:color w:val="000000"/>
          <w:sz w:val="24"/>
          <w:szCs w:val="24"/>
        </w:rPr>
        <w:br/>
        <w:t xml:space="preserve">As a result of the liberalization the change of the industry concentration was not demonstrable in 2008. On the other hand the effects of the liberalization could be detected in the profit and asset structure of the companies unequivocally in 2007.</w:t>
      </w:r>
      <w:r>
        <w:rPr>
          <w:color w:val="000000"/>
          <w:sz w:val="24"/>
          <w:szCs w:val="24"/>
        </w:rPr>
        <w:br/>
        <w:t xml:space="preserve">We can announce, that the analyzed companies have been reacted well on the crisis, its effect appeared in an indirect way. The narrowing of the credit, the exchange rate exposure, the liquidity problems and the effect of the decline in demand were not evincible in our research.. Furthermore the positive changes of the investment cash-flow were attributable to the improvement of the investment climate. In our research the indirect way of the crisis management is certified by the introduced crisis tax in 2010, which was resulting in deteriorating of the profitability of the companies. All in all, to response to the question stated in the title, we can announce, that based on the financial statements the sector can not able to maintain its profitability because of the sanctions and measures.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384372">
    <w:multiLevelType w:val="hybridMultilevel"/>
    <w:lvl w:ilvl="0" w:tplc="632242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384372">
    <w:abstractNumId w:val="633843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4740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