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MEDOVARSZKY</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Hajnalka Ván</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applicability of environmental management accounting in the area of cattle-breeding, especially in cost accounting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management accounting; agriculture; cattle-breeding; cost allocation; cost-accounting</w:t>
      </w:r>
      <w:r>
        <w:t xml:space="preserve"/>
      </w:r>
    </w:p>
    <w:p>
      <w:pPr>
        <w:widowControl w:val="on"/>
        <w:pBdr/>
        <w:spacing w:before="240" w:after="240" w:line="240" w:lineRule="auto"/>
        <w:ind w:left="0" w:right="0"/>
        <w:jc w:val="left"/>
      </w:pPr>
      <w:r>
        <w:rPr>
          <w:color w:val="000000"/>
          <w:sz w:val="24"/>
          <w:szCs w:val="24"/>
        </w:rPr>
        <w:t xml:space="preserve">Nowadays, environmental problems, pollution, sustainability, positive or negative social and environmental effects and Corporate Social Responsibility belonging to this topic are coming to the front. This study aims to answer the questions how environmental factors could be integrated into accounting of agricultural enterprises, and how much environmental costs analysed separately may influence production cost. The main objective of this analysis is to create a cost-accounting method available in the area of cattle-breeding that keeps environmental effects important.</w:t>
      </w:r>
      <w:r>
        <w:rPr>
          <w:color w:val="000000"/>
          <w:sz w:val="24"/>
          <w:szCs w:val="24"/>
        </w:rPr>
        <w:br/>
        <w:t xml:space="preserve">Formation of an environmental cost-accounting is observed through the example of an agricultural enterprise. After mapping the environmental costs of the company by using the environmental balance method, these environmental costs were grouped. This step has its special importance in accomplishing environmental cost allocation. Environmental costs can be found among the costs of farming administration in both premises, and they are allocated through an environment-orientated approach. The costs of handling waste and emission are allocated on the basis of percentages created from breeding-days, while the costs of preventive environmental protection activities are allocated in equal ratios to the products, actually, the different cattle subgroups stipulated according to their ages.</w:t>
      </w:r>
      <w:r>
        <w:rPr>
          <w:color w:val="000000"/>
          <w:sz w:val="24"/>
          <w:szCs w:val="24"/>
        </w:rPr>
        <w:br/>
        <w:t xml:space="preserve">This analysis points out that production cost determined with environmental cost-accounting method absolutely differs from production cost set out with the method used by the company. Moreover, it is important to mention that environmental costs can be found in cost centres of the auxiliary plants of the company, which this study does not contain. By mapping these costs, and building them into environmental cost accounting, significant differences can occur between the two methods. As a result of the fact that efficiency of the company mainly depends on production costs and sales prices, managerial decisions also depend on cost-accounting method. Consequently, decision-making of an environment-orientated management where the decision is based on environmental indices can be significantly different from decisions on production or sales made based on production cost calculated by the traditional method which is currently used in the company.</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JEL: M41, Q10, Q52, Q56</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33999">
    <w:multiLevelType w:val="hybridMultilevel"/>
    <w:lvl w:ilvl="0" w:tplc="75283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33999">
    <w:abstractNumId w:val="75533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572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