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KÓKAI</w:t>
            </w:r>
          </w:p>
          <w:p w:rsidR="00C275A3" w:rsidRDefault="00A96AEC" w:rsidP="00C275A3">
            <w:pPr>
              <w:pStyle w:val="Hallgatokepzes"/>
            </w:pPr>
            <w:r>
              <w:t>Finance</w:t>
            </w:r>
            <w:r>
              <w:br/>
            </w:r>
            <w:r w:rsidR="00E77B23">
              <w:t>MA, 1.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ANDOR MÁTÉ</w:t>
            </w:r>
          </w:p>
          <w:p w:rsidR="00DB4822" w:rsidRDefault="00C275A3" w:rsidP="004D7940">
            <w:pPr>
              <w:pStyle w:val="Hallgatokepzes"/>
            </w:pPr>
            <w:r>
              <w:t>Finance and Accounting</w:t>
            </w:r>
            <w:r w:rsidR="00A96AEC">
              <w:br/>
              <w:t>BA, 7.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Economics and Business Administration</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György Kovács, PHD</w:t>
            </w:r>
          </w:p>
          <w:p w:rsidR="00DB4822" w:rsidRDefault="00DB4822" w:rsidP="00BA6BAF">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Historical parallels tuned to crises: the Hungarian banking system and the flow of foreign capital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comparative economic history, foreign capital, banking system, crisis</w:t>
      </w:r>
      <w:r>
        <w:t xml:space="preserve"/>
      </w:r>
    </w:p>
    <w:p>
      <w:pPr>
        <w:widowControl w:val="on"/>
        <w:pBdr/>
        <w:spacing w:before="240" w:after="240" w:line="240" w:lineRule="auto"/>
        <w:ind w:left="0" w:right="0"/>
        <w:jc w:val="left"/>
      </w:pPr>
      <w:r>
        <w:rPr>
          <w:color w:val="000000"/>
          <w:sz w:val="24"/>
          <w:szCs w:val="24"/>
        </w:rPr>
        <w:t xml:space="preserve">When we talk about economic crises we have to take previous historical and economic processes into consideration and thus we believe that one must analyse current problems from the point of view of economic history. So in our study, we compare the effects of the two biggest global crisis in the case of Hungary. In Hungary, both crisis followed a transition crisis: the crisis of 1929 followed the World War I and its consequences, while the crisis of 2008 followed democratic transformation. In order that the transitions could be handled, accumulation of capital at an appropriate level became necessary – the capital could have been domestic, however, it was not available due to the transition crises. As a result, the Hungarian economy had to turn to foreign capital. Owing to the features of the financial system, the majority of foreign capital inflow happened through the banking system in both cases, and this resulted in dependence and vulnerability of the country. It raises the question what kind of relationship can be noticed between the dependence of the Hungarian banking system and the two global crises. How much did the capital structure of the Hungarian banking system effect on strengthening of the problems due to the crises and the sensitivity to crises? In our study we attempt to verify the mentioned connections and this gives the novelty of our work. Our conclusions are based on a logical analysis of the results of the available quantitative investigations and of the relevant literature. Our conclusion points out that the significant inflow of foreign capital through the banking system happened because of the lack of domestic capital strengthened financial dependence in the case of the two analysed crises. Nowadays, we can see reverse processes which aim to establish stabilization, but it is still a question how long Hungary as a country with poor domestic capital has been able to develop and if foreign capital again turns up in the banking system what kind of tensions it may result in? Furthermore, if foreign capital flows into the banking system again, will the regulation be able to control and keep it in a normal range?</w:t>
      </w:r>
    </w:p>
    <w:p>
      <w:pPr>
        <w:widowControl w:val="on"/>
        <w:pBdr/>
        <w:spacing w:before="240" w:after="240" w:line="240" w:lineRule="auto"/>
        <w:ind w:left="0" w:right="0"/>
        <w:jc w:val="left"/>
      </w:pPr>
      <w:r>
        <w:rPr>
          <w:color w:val="000000"/>
          <w:sz w:val="24"/>
          <w:szCs w:val="24"/>
        </w:rPr>
        <w:t xml:space="preserve">JEL: F30, G28, N14, N24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83736">
    <w:multiLevelType w:val="hybridMultilevel"/>
    <w:lvl w:ilvl="0" w:tplc="44744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83736">
    <w:abstractNumId w:val="252837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125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