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SCHUSZTER TAMÁS</w:t>
            </w:r>
          </w:p>
          <w:p w:rsidR="00C275A3" w:rsidRDefault="00A96AEC" w:rsidP="00C275A3">
            <w:pPr>
              <w:pStyle w:val="Hallgatokepzes"/>
            </w:pPr>
            <w:r>
              <w:t>Pénzügy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Gábor Dávid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reagálnak a sejtek a szervezetet érő sokkokra? Az európai devizapiacok kollektív viselkedési diagnosztikája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extrém esemény; devizapiac; kollektív viselkedés; fertőzés; fedezési stratégia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három évtizedben a pénzügyi instabilitást előidéző tényezők tovagyűrűző hatásaként fellépő extrémitások a tőke- és pénzpiacok sokkjaiban fokozódó koncentráltságot eredményeztek.</w:t>
      </w:r>
      <w:r>
        <w:rPr>
          <w:color w:val="000000"/>
          <w:sz w:val="24"/>
          <w:szCs w:val="24"/>
        </w:rPr>
        <w:br/>
        <w:t xml:space="preserve">Az európai devizapiacon (mint hálózati szervezetben) gyakran fellépő nem várt mozgások és turbulens hatások megkövetelik a devizapiaci fertőzöttségi szint felmérését az árfolyamkockázati-kitettség fedezési stratégiáinak hatékonyságnövelése érdekében. A pénz- és tőkepiaci szereplőknek a tranzakciós devizaárfolyam-kitettségük kezelésére alkalmazott stratégia kiválasztása során ugyanis ismerniük kell, hogy egy adott devizapár árfolyamának (mint a hálózat sejtjének) extrém kilengése milyen tovagyűrűző hatással bírhat más árfolyamokra. Mindez jelentősen befolyásolhatja a nem fedezés és a szelektív fedezés implicit és explicit költségeit. Amennyiben ugyanis igazolhatóvá válik a pénzügyi fertőzés a devizapiaci hozamok korrelációjának időbeli megváltozásával a rendszert érő sokk következtében, a kockázatporlasztás épp akkor lesz hatástalan, amikor a legfontosabb lenne. A fedezés hatékonyságának növelése tehát az extrém devizamozgások azonosítására (VaR, QQ-plot), a devizák együttmozgásának változására és a piac felépítéséről alkotott elméleti feltételezéseink pontosítására helyezik a hangsúlyt. A tanulmány központi célja, hogy az extrémitások azonosításának újszerű, kifinomultabb megközelítésével az egyes európai régiók átlagos fertőzöttségi szintjét meghatározhassam, melynek ismerete támpontul szolgálhat az európai devizaárfolyam-kitettségek fedezési stratégiáinak további finomhangolásában.</w:t>
      </w:r>
      <w:r>
        <w:rPr>
          <w:color w:val="000000"/>
          <w:sz w:val="24"/>
          <w:szCs w:val="24"/>
        </w:rPr>
        <w:br/>
        <w:t xml:space="preserve">A kutatás 2005 májusa és 2014 februárja közötti időszakában a devizák dinamikus feltételes korrelációját az Európai Központi Bank monetáris politikai döntései nyomán meghatározott négy időintervallum (a subprime válság előtti, a subprime válság alatti, a köztes és az euróválság időszaka) alapján elemeztem kollektív viselkedési formákat keresve. A kutatás eredményeképpen megállapítható, hogy bár az egyes európai térségek a vizsgált időszakokban eltérő kollektív viselkedési formákat alakítottak ki, az egy-egy régióba tartozó devizák között nagyfokú hasonlóság mutatkozik. A devizaportfolió diverzifikálására épülő nem fedezés stratégiájának gyakorlati alkalmazhatóságát ezek a kollektív viselkedési formák nagyban ronthatják, ugyanakkor a szelektív fedezés finomhangolása lehetségessé válik a bemutatott, normális eloszlás széleken történő sérülését kiaknázó újszerű eljárások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62998">
    <w:multiLevelType w:val="hybridMultilevel"/>
    <w:lvl w:ilvl="0" w:tplc="73909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62998">
    <w:abstractNumId w:val="98262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098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