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SCHUSZTER</w:t>
            </w:r>
          </w:p>
          <w:p w:rsidR="00C275A3" w:rsidRDefault="00A96AEC" w:rsidP="00C275A3">
            <w:pPr>
              <w:pStyle w:val="Hallgatokepzes"/>
            </w:pPr>
            <w:r>
              <w:t>Finance</w:t>
            </w:r>
            <w:r>
              <w:br/>
            </w:r>
            <w:r w:rsidR="00E77B23">
              <w:t>MA, 2.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Dávid Kiss, PhD</w:t>
            </w:r>
          </w:p>
          <w:p w:rsidR="00DB4822" w:rsidRDefault="00DB4822" w:rsidP="00E11062">
            <w:pPr>
              <w:pStyle w:val="Konzulensek"/>
            </w:pPr>
            <w:r w:rsidRPr="00DB4822">
              <w:t>assistant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cells react on systemic shocks? Diagnostics of European currency markets in the light of collective behaviour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extreme events; currency market; collective behaviour; contagion; hedging strategy</w:t>
      </w:r>
      <w:r>
        <w:t xml:space="preserve"/>
      </w:r>
    </w:p>
    <w:p>
      <w:pPr>
        <w:widowControl w:val="on"/>
        <w:pBdr/>
        <w:spacing w:before="240" w:after="240" w:line="240" w:lineRule="auto"/>
        <w:ind w:left="0" w:right="0"/>
        <w:jc w:val="left"/>
      </w:pPr>
      <w:r>
        <w:rPr>
          <w:color w:val="000000"/>
          <w:sz w:val="24"/>
          <w:szCs w:val="24"/>
        </w:rPr>
        <w:t xml:space="preserve">In the last three decades extreme fluctuations appearing due to the effects of financial stability resulted in higher concentration in the case of financial and capital market shocks. Unexpected and turbulent fluctuations on European currency markets (as a systemic network) requires for deeper understanding of currency contagions to enhance currency-exposure hedging strategies. Actors of financial and capital markets – while selecting strategies to hedge transactional currency exposure – have to learn the spillover effects of extreme currency (as cell of the network) fluctuations. These phenomena may have a significant impact on the explicit and implicit costs of non-hedging and selective hedging strategies. As far as temporary changes in financial contagion presents changes among currency correlations, diminishing diversification will be ineffective at the time, when it is needed the most. Enhanced hedging can be based on the identification of extreme currency fluctuation (VaR, QQ plot techniques), changes in correlation and on recent market structure theories. Thus, current study focuses on the fine-tuning of European currency exposure hedging strategies by establishing an average contagion level in different European regions. It is based on the identification of extremities using new and more sensitive methods.</w:t>
      </w:r>
      <w:r>
        <w:rPr>
          <w:color w:val="000000"/>
          <w:sz w:val="24"/>
          <w:szCs w:val="24"/>
        </w:rPr>
        <w:br/>
        <w:t xml:space="preserve">In order to capture appearance of contagion between May 2005 and February 2014, dynamic conditional correlations and extreme fluctuations of daily closing data were analyzed under different crisis intervals (pre-crisis, subprime, interim and eurocrisis) which were defined by the monetary policy actions of the European Central Bank. As a result of the research, we can point out that though these European regions created different collective behaviour in the invested periods, there are significant similarities in contagions and divergences among sample currencies. Practical application of non-hedging strategy based on diversified currency portfolio, can be affected badly both by contagions and divergences. However selective hedging can be fine-tuned through the application of methods focusing on non-normal returns at the tails.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66092">
    <w:multiLevelType w:val="hybridMultilevel"/>
    <w:lvl w:ilvl="0" w:tplc="35973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66092">
    <w:abstractNumId w:val="265660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98764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