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LACZI RENÁTA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Pelle Anita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versenyképesség humán aspektusai az Európai Unióban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versenyképesség, humán tőke, kohézió, Európai Unió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gazdasági válság, amely alapjaiban rázta meg az Európai Uniót, egyben lehetőséget is teremtett a növekedés új forrásainak felfedezésére. Az Európai Unió számos célkitűzése hangsúlyozta már, hogy az olyan növekedés a kívánt, amely során egyszerre valósul meg a gazdasági és társadalmi kohézió – ez a legújabb növekedési stratégia, az Európa 2020 esetében sincs másképp.</w:t>
      </w:r>
      <w:r>
        <w:rPr>
          <w:color w:val="000000"/>
          <w:sz w:val="24"/>
          <w:szCs w:val="24"/>
        </w:rPr>
        <w:br/>
        <w:t xml:space="preserve">Az áhított gazdasági növekedés kapcsán felmerül a versenyképesség kérdése. A dolgozatom kiindulási pontja az, hogy megfelelő társadalmi környezet nélkül a versenyképesség javítása nem lehetséges. Kutatásom a szociális dimenzió két elemét vizsgálja: egyrészről a humán tőkét, másrészről pedig a társadalmi kohéziót, valamint ezek összefüggéseit az Európai Unió tagállamainak versenyképességével. Vizsgálódásom során földrajzi szempontok alapján országcsoportokat alkottam, előtérbe hozva a területi kohézió dimenzióját is. A humán tőke vonatkozásában elsősorban a Világgazdasági Fórum humán tőke indexét tanulmányozom. A társadalmi kohézió esetében pedig az egyes csoportokon belül vizsgálom a foglalkoztatási ráták és a szegénységi mutatók közötti a szórást azzal a céllal, hogy megtudjam a térségek belső kohézióját; valamint vizsgálom a csoportok közötti szórást, hogy kirajzolódjanak az Európai Unión belüli területi különbségek is.</w:t>
      </w:r>
      <w:r>
        <w:rPr>
          <w:color w:val="000000"/>
          <w:sz w:val="24"/>
          <w:szCs w:val="24"/>
        </w:rPr>
        <w:br/>
        <w:t xml:space="preserve">A dolgozatomban végzett elemzések és összehasonlítások alapján elmondható, hogy a versenyképesség összefügg a társadalmi dimenzióval. A megfelelő humán tőke és a társadalmi kohézió egyaránt előfeltételei a versenyképességnek. Az egyes országcsoportok közötti különbségek az Európai Unión belüli megosztottságot sugallják; a törésvonal elsősorban a centrum és periféria országai között figyelhető meg. Ezek a belső egyensúlytalanságok pedig az unió egészére mint gazdasági egységre negatív hatással vannak. Az Európai Unió jövője szempontjából a tagállamok közötti különbségek mérséklése kulcsfontosságú kérdés.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67568">
    <w:multiLevelType w:val="hybridMultilevel"/>
    <w:lvl w:ilvl="0" w:tplc="39067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67568">
    <w:abstractNumId w:val="909675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623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