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LACZI</w:t>
            </w:r>
          </w:p>
          <w:p w:rsidR="00C275A3" w:rsidRDefault="00A96AEC" w:rsidP="00C275A3">
            <w:pPr>
              <w:pStyle w:val="Hallgatokepzes"/>
            </w:pPr>
            <w:r>
              <w:t>International Economy and Business</w:t>
            </w:r>
            <w:r>
              <w:br/>
            </w:r>
            <w:r w:rsidR="00E77B23">
              <w:t>MA, 1.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Anita Pelle PhD</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human aspects of competitiveness in the European Union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competitiveness, human capital, cohesion, European Union</w:t>
      </w:r>
      <w:r>
        <w:t xml:space="preserve"/>
      </w:r>
    </w:p>
    <w:p>
      <w:pPr>
        <w:widowControl w:val="on"/>
        <w:pBdr/>
        <w:spacing w:before="240" w:after="240" w:line="240" w:lineRule="auto"/>
        <w:ind w:left="0" w:right="0"/>
        <w:jc w:val="left"/>
      </w:pPr>
      <w:r>
        <w:rPr>
          <w:color w:val="000000"/>
          <w:sz w:val="24"/>
          <w:szCs w:val="24"/>
        </w:rPr>
        <w:t xml:space="preserve">The economic crisis of 2008 which fundamentally shook the European Union created, at the same time, an opportunity to search for new sources of growth. Several objectives of the European Union had already emphasised the preference for a growth where economic and social cohesion would also be realised; the Europe 2020 strategy is not any different in this respect.</w:t>
      </w:r>
      <w:r>
        <w:rPr>
          <w:color w:val="000000"/>
          <w:sz w:val="24"/>
          <w:szCs w:val="24"/>
        </w:rPr>
        <w:br/>
        <w:t xml:space="preserve">Competitiveness plays a crucial part in achieving the sought economic growth. The starting point of my study is that, without an adequate social environment, improving competitiveness is not feasible. My research focuses on two elements of the social dimension: human capital and social cohesion. I also analyse how these relate to the competitiveness of EU member states. In the course of my analysis, I construct groups of countries based on geographical terms, thus involving the territorial aspect of cohesion in my research. As for human capital, I rely on the Human Capital Index of the World Economic Forum in the first place. As regards social cohesion, I examine the intra-group standard deviations in employment and poverty indicators with the aim of defining the internal cohesion of the territories. I also study the standard deviations across the groups in order to show intra-EU territorial disparities as well.</w:t>
      </w:r>
      <w:r>
        <w:rPr>
          <w:color w:val="000000"/>
          <w:sz w:val="24"/>
          <w:szCs w:val="24"/>
        </w:rPr>
        <w:br/>
        <w:t xml:space="preserve">Based on my analysis it can be stated that the social dimension plays a decisive role in competitiveness. In fact, adequate human capital and social cohesion are both prerequisites to competitiveness. The disparities across the country groups imply that there is an intra-EU divide; the friction line is detectable mainly between the countries in the core and those in the periphery. These internal disparities have a negative effect on the EU as a single economic bloc. Therefore, the mitigation of these is crucial in light of the future of the European Union.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69764">
    <w:multiLevelType w:val="hybridMultilevel"/>
    <w:lvl w:ilvl="0" w:tplc="30388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69764">
    <w:abstractNumId w:val="55069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305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