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PONTET JULIANNA</w:t>
            </w:r>
          </w:p>
          <w:p w:rsidR="00C275A3" w:rsidRDefault="00A96AEC" w:rsidP="00C275A3">
            <w:pPr>
              <w:pStyle w:val="Hallgatokepzes"/>
            </w:pPr>
            <w:r>
              <w:t>Nemzetközi gazdaság és gazdálkodás</w:t>
            </w:r>
            <w:r>
              <w:br/>
            </w:r>
            <w:r w:rsidR="00E77B23">
              <w:t>MA, 3. félév</w:t>
            </w:r>
          </w:p>
          <w:p w:rsidR="00C265CE" w:rsidRPr="009E5FF1" w:rsidRDefault="00E77B23" w:rsidP="00BA6BAF">
            <w:pPr>
              <w:pStyle w:val="Hallgatointezmeny-kar"/>
              <w:rPr>
                <w:b/>
                <w:caps/>
              </w:rPr>
            </w:pPr>
            <w:r>
              <w:t>Szegedi Tudományegyetem</w:t>
            </w:r>
            <w:r w:rsidR="00C275A3">
              <w:br/>
            </w:r>
            <w:r w:rsidR="00DB4822">
              <w:t>Gazdaságtudományi Kar</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Témavezető:</w:t>
      </w:r>
    </w:p>
    <w:tbl>
      <w:tblPr>
        <w:tblStyle w:val="Konzulensektable"/>
        <w:tblW w:w="0" w:type="auto"/>
        <w:tblLook w:val="04A0"/>
      </w:tblPr>
      <w:tblGrid>
        <w:gridCol w:w="9854"/>
      </w:tblGrid>
      <w:tr w:rsidR="00DB4822" w:rsidTr="00DB4822">
        <w:tc>
          <w:tcPr>
            <w:tcW w:w="9854" w:type="dxa"/>
          </w:tcPr>
          <w:p w:rsidR="00DB4822" w:rsidRPr="00DB4822" w:rsidRDefault="00DB4822" w:rsidP="00BA6BAF">
            <w:pPr>
              <w:pStyle w:val="Konzulenseknev"/>
            </w:pPr>
            <w:r w:rsidRPr="00DB4822">
              <w:t>Dr. Udvari Beáta</w:t>
            </w:r>
          </w:p>
          <w:p w:rsidR="00DB4822" w:rsidRDefault="00DB4822" w:rsidP="00BA6BAF">
            <w:pPr>
              <w:pStyle w:val="Konzulensektitulus"/>
            </w:pPr>
            <w:r w:rsidRPr="00DB4822">
              <w:t>egyetemi adjunktus, SZTE GTK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Mindent vagy semmit? Költségvetés-támogatás a törékeny országokban</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Kulcsszavak</w:t>
      </w:r>
      <w:r>
        <w:t xml:space="preserve">:</w:t>
      </w:r>
      <w:r>
        <w:t xml:space="preserve"> </w:t>
      </w:r>
      <w:r w:rsidRPr="00885DBC">
        <w:t/>
      </w:r>
      <w:r>
        <w:rPr>
          <w:color w:val="000000"/>
          <w:sz w:val="24"/>
          <w:szCs w:val="24"/>
        </w:rPr>
        <w:t xml:space="preserve">nemzetközi fejlesztési együttműködés; költségvetés-támogatás; törékeny államok</w:t>
      </w:r>
      <w:r>
        <w:t xml:space="preserve"/>
      </w:r>
    </w:p>
    <w:p>
      <w:pPr>
        <w:widowControl w:val="on"/>
        <w:pBdr/>
        <w:spacing w:before="240" w:after="240" w:line="240" w:lineRule="auto"/>
        <w:ind w:left="0" w:right="0"/>
        <w:jc w:val="left"/>
      </w:pPr>
      <w:r>
        <w:rPr>
          <w:color w:val="000000"/>
          <w:sz w:val="24"/>
          <w:szCs w:val="24"/>
        </w:rPr>
        <w:t xml:space="preserve">Napjainkban a nemzetközi fejlesztési együttműködés több területén is átalakulást tapasztalhatunk, a feltörekvő donorok növekvő szerepén túl a hagyományos segélyek mellett egyre nagyobb teret nyernek újfajta támogatások, mint például a költségvetés-támogatás. A nemzetközi fejlesztési közösség nagy reményeket fűz a költségvetés-támogatáshoz, többen a segélyezés hatékonyságának megoldásaként tekintenek rá. Azonban azt is többen kiemelik, hogy sikeres alkalmazásához a jó kormányzás, a megfelelő intézményi háttér, valamint a demokratikus alapelvek tiszteletben tartása elengedhetetlen. Ennek ellenére számos kutató és donor, többek között az Európai Unió is hangsúlyozza, hogy a költségvetés-támogatás megfelelő támogatási eszköz lehet a törékeny államokban, ahol a fenti feltételek teljesítése kérdéses. Ez azonban érdekes kérdést vet fel: a törékeny országok, amelyek hagyományosan rossz kormányzással és gyenge intézményi kapacitással bírnak, kapnak-e költségvetés-támogatást, melynek egyik fő feltétele éppen a stabil és megbízható kormányzat és intézményi háttér. Ebből következően a kutatás célja, hogy statisztikai eszközök segítségével meghatározza, hogy a donorok különbséget tesznek-e törékeny és nem törékeny fejlődő országok között a költségvetés-támogatás alkalmazása során.</w:t>
      </w:r>
      <w:r>
        <w:rPr>
          <w:color w:val="000000"/>
          <w:sz w:val="24"/>
          <w:szCs w:val="24"/>
        </w:rPr>
        <w:br/>
        <w:t xml:space="preserve">A cél eléréséhez a szakirodalom összegzésén és elemzésén túl hipotézisvizsgálatokat és korrelációszámítást végeztünk, az elemzésbe összesen 97 országot vontunk be, melyből 30 ország törékeny. Az elemzés során olyan makrogazdasági, társadalmi, politikai, valamint intézményi mutatókat alkalmaztunk, amelyek befolyásolhatják a törékeny országokban a költségvetés-támogatás alakulását.</w:t>
      </w:r>
      <w:r>
        <w:rPr>
          <w:color w:val="000000"/>
          <w:sz w:val="24"/>
          <w:szCs w:val="24"/>
        </w:rPr>
        <w:br/>
        <w:t xml:space="preserve">A vizsgálatok rámutattak arra, hogy a törékeny és nem törékeny, illetve a politikai szempontból szabad és kevésbé szabad országokba juttatott költségvetés-támogatás nagysága között nincs szignifikáns különbség, tehát a törékeny országok közel azonos nagyságú támogatásban részesülnek, mint a nem törékeny fejlődő országok. Ez alapján elmondható, hogy a donorok nem tesznek különbséget törékeny és nem törékeny országok között, amikor a költségvetés-támogatás alkalmazásáról döntenek.</w:t>
      </w:r>
      <w:r>
        <w:rPr>
          <w:color w:val="000000"/>
          <w:sz w:val="24"/>
          <w:szCs w:val="24"/>
        </w:rPr>
        <w:br/>
        <w:t xml:space="preserve">A korrelációszámítás arra az eredményre vezetett, hogy a társadalmi és gazdasági szempontból fejletlenebb országok több költségvetés-támogatásban részesülnek, amely azt a nézetet támasztja alá, miszerint a költségvetés-támogatás főként a legkevésbé fejlett országok támogatására lehet alkalmas.</w:t>
      </w:r>
      <w:r>
        <w:rPr>
          <w:color w:val="000000"/>
          <w:sz w:val="24"/>
          <w:szCs w:val="24"/>
        </w:rPr>
        <w:br/>
        <w:t xml:space="preserve">JEL-kód: F35</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5311F" w:rsidRDefault="00F5311F">
      <w:r>
        <w:separator/>
      </w:r>
    </w:p>
  </w:endnote>
  <w:endnote w:type="continuationSeparator" w:id="1">
    <w:p w:rsidR="00F5311F" w:rsidRDefault="00F5311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5311F" w:rsidRDefault="00F5311F">
      <w:r>
        <w:separator/>
      </w:r>
    </w:p>
  </w:footnote>
  <w:footnote w:type="continuationSeparator" w:id="1">
    <w:p w:rsidR="00F5311F" w:rsidRDefault="00F5311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6271559">
    <w:multiLevelType w:val="hybridMultilevel"/>
    <w:lvl w:ilvl="0" w:tplc="6514226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6271559">
    <w:abstractNumId w:val="5627155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536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794540601"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11</TotalTime>
  <Pages>1</Pages>
  <Words>39</Words>
  <Characters>272</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5</cp:revision>
  <cp:lastPrinted>1601-01-01T00:00:00Z</cp:lastPrinted>
  <dcterms:created xsi:type="dcterms:W3CDTF">2014-08-30T18:28:00Z</dcterms:created>
  <dcterms:modified xsi:type="dcterms:W3CDTF">2015-02-04T15:08:00Z</dcterms:modified>
</cp:coreProperties>
</file>