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JULIANNA PONTET</w:t>
            </w:r>
          </w:p>
          <w:p w:rsidR="00C275A3" w:rsidRDefault="00A96AEC" w:rsidP="00C275A3">
            <w:pPr>
              <w:pStyle w:val="Hallgatokepzes"/>
            </w:pPr>
            <w:r>
              <w:t>International Economy and Business</w:t>
            </w:r>
            <w:r>
              <w:br/>
            </w:r>
            <w:r w:rsidR="00E77B23">
              <w:t>MA, 3. semester</w:t>
            </w:r>
          </w:p>
          <w:p w:rsidR="00C265CE" w:rsidRPr="009E5FF1" w:rsidRDefault="00E77B23" w:rsidP="00BA6BAF">
            <w:pPr>
              <w:pStyle w:val="Hallgatointezmeny-kar"/>
              <w:rPr>
                <w:b/>
                <w:caps/>
              </w:rPr>
            </w:pPr>
            <w:r>
              <w:t>University of Szeged</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Beáta Udvari</w:t>
            </w:r>
          </w:p>
          <w:p w:rsidR="00DB4822" w:rsidRDefault="00DB4822" w:rsidP="00BA6BAF">
            <w:pPr>
              <w:pStyle w:val="Konzulensektitulus"/>
            </w:pPr>
            <w:r w:rsidRPr="00DB4822">
              <w:t>assistant professor,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All or nothing? Budget support in fragile states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international development cooperation; budget support; fragile states</w:t>
      </w:r>
      <w:r>
        <w:t xml:space="preserve"/>
      </w:r>
    </w:p>
    <w:p>
      <w:pPr>
        <w:widowControl w:val="on"/>
        <w:pBdr/>
        <w:spacing w:before="240" w:after="240" w:line="240" w:lineRule="auto"/>
        <w:ind w:left="0" w:right="0"/>
        <w:jc w:val="left"/>
      </w:pPr>
      <w:r>
        <w:rPr>
          <w:color w:val="000000"/>
          <w:sz w:val="24"/>
          <w:szCs w:val="24"/>
        </w:rPr>
        <w:t xml:space="preserve">Nowadays, transformation can be experienced in several areas of international development cooperation and the role of emerging donors and new types of aid such as budget support in addition to traditional aid are growing. The international development community has high hopes for budget support, many see it as a solution to aid effectiveness. Nevertheless it is claimed that good governance, institutional capacity and respect of democratic principles are essential for successful adoption of budget support. Despite this fact, several researchers and donors, including the European Union, emphasize that budget support may be adequate tool in fragile states though the situation in these countries does not meet the conditions mentioned above. This raises the question whether fragile states with bad governance and weak institutional capacity receive budget support though its basic condition is stable and reliable governance and institutional background. Consequently, the present study aims to determine with statistical tools whether the donors make distinction between fragile and non-fragile countries when budget support is allocated.</w:t>
      </w:r>
      <w:r>
        <w:rPr>
          <w:color w:val="000000"/>
          <w:sz w:val="24"/>
          <w:szCs w:val="24"/>
        </w:rPr>
        <w:br/>
        <w:t xml:space="preserve">In order to achieve this aim, besides the summary and analysis the relevant literature, hypothesis tests and correlation analysis were conducted involving of 97 countries into it of which 30 countries belong to fragile state. The analysis includes macroeconomic, social, political and institutional indicators which may probably affect the amounts of budget support in fragile states.</w:t>
      </w:r>
      <w:r>
        <w:rPr>
          <w:color w:val="000000"/>
          <w:sz w:val="24"/>
          <w:szCs w:val="24"/>
        </w:rPr>
        <w:br/>
        <w:t xml:space="preserve">The results pointed out that there is no significant difference between amounts of budget support provided to fragile and non-fragile or politically free or not free states so fragile states receive approximately the same amounts of budget support as the non-fragile states. On that basis, it may be considered that donors do not make distinction between fragile and non-fragile states when they allocate budget support.</w:t>
      </w:r>
      <w:r>
        <w:rPr>
          <w:color w:val="000000"/>
          <w:sz w:val="24"/>
          <w:szCs w:val="24"/>
        </w:rPr>
        <w:br/>
        <w:t xml:space="preserve">The correlation analysis led to the conclusion that less developed countries in social and economic terms receive more budget support. The view is supported by the fact that budget support may be adequate principally in least developed countries.</w:t>
      </w:r>
      <w:r>
        <w:rPr>
          <w:color w:val="000000"/>
          <w:sz w:val="24"/>
          <w:szCs w:val="24"/>
        </w:rPr>
        <w:br/>
        <w:br/>
        <w:t xml:space="preserve">JEL: F35</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044647">
    <w:multiLevelType w:val="hybridMultilevel"/>
    <w:lvl w:ilvl="0" w:tplc="151060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044647">
    <w:abstractNumId w:val="950446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72361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