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BARANYI</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Mikó</w:t>
            </w:r>
          </w:p>
          <w:p w:rsidR="00DB4822" w:rsidRDefault="00DB4822" w:rsidP="00E11062">
            <w:pPr>
              <w:pStyle w:val="Konzulensek"/>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Holstein-Friesian cows udder and foot hygienic condition depending on the quality of milk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Set against the raw milk quality demands compliance is one of the most important task of the cattle farms. This is based ont he somatic cells count’s limit. Furthermore the great values suggest health problems ( clinical and sublinical mastitis) too.</w:t>
      </w:r>
      <w:r>
        <w:rPr>
          <w:color w:val="000000"/>
          <w:sz w:val="24"/>
          <w:szCs w:val="24"/>
        </w:rPr>
        <w:br/>
        <w:t xml:space="preserve">In my essay I analyzed the Hód-Mezőgazda Zrt.’s and the Agrogorzsa Rt.’s details. I did the holstein-friesian cows higienic scores. I searched relationship between the parameters, and these connections of the somatic cells count. Morover I analyzed the connection between the number of quarter – udder and hygiene state. Finally I stated that the analyzed parameters are often in conjuction with each other; I made proposals of the cleanliness conditions and the applied milking methods improving, modernizing, which I helped the dairy cattle farm’s professional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73851">
    <w:multiLevelType w:val="hybridMultilevel"/>
    <w:lvl w:ilvl="0" w:tplc="63037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73851">
    <w:abstractNumId w:val="42673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007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