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NAGYPÁL</w:t>
            </w:r>
          </w:p>
          <w:p w:rsidR="00C275A3" w:rsidRDefault="00A96AEC" w:rsidP="00C275A3">
            <w:pPr>
              <w:pStyle w:val="Hallgatokepzes"/>
            </w:pPr>
            <w:r>
              <w:t>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Monostori</w:t>
            </w:r>
          </w:p>
          <w:p w:rsidR="00DB4822" w:rsidRDefault="00DB4822" w:rsidP="00E11062">
            <w:pPr>
              <w:pStyle w:val="Konzulensek"/>
            </w:pPr>
            <w:r w:rsidRPr="00DB4822">
              <w:t>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starter fertilization technology in maize and sunflower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Modernization of the fertilization technology arouses the farmer’s interest more than ever. However it also has to be taken into account from economic considerations. What kind of fertilizer is worth to be used, how and when it should be applied and how big amount of it we need?</w:t>
      </w:r>
      <w:r>
        <w:rPr>
          <w:color w:val="000000"/>
          <w:sz w:val="24"/>
          <w:szCs w:val="24"/>
        </w:rPr>
        <w:br/>
        <w:t xml:space="preserve">The aim of my dissertation is to present the importance of the starter fertilization technology.</w:t>
      </w:r>
      <w:r>
        <w:rPr>
          <w:color w:val="000000"/>
          <w:sz w:val="24"/>
          <w:szCs w:val="24"/>
        </w:rPr>
        <w:br/>
        <w:t xml:space="preserve">The experiment was performed in sunflower and in the same way in corn on the fields of my family in 2013. I set the traditionally granulated fertilizers against the microgranulated fertilizers regarding their effects on the cardinal number, the dry weight and on the crop.</w:t>
      </w:r>
      <w:r>
        <w:rPr>
          <w:color w:val="000000"/>
          <w:sz w:val="24"/>
          <w:szCs w:val="24"/>
        </w:rPr>
        <w:br/>
        <w:t xml:space="preserve">During the examination of the cardinal number we experienced the encouraging effect of the starter fertilizers on the germinal growth which reflected in the crop results as well. The germination inhibitory effect of urea was confirmed also in that case when it was applied 10 cm from the seed.</w:t>
      </w:r>
      <w:r>
        <w:rPr>
          <w:color w:val="000000"/>
          <w:sz w:val="24"/>
          <w:szCs w:val="24"/>
        </w:rPr>
        <w:br/>
        <w:t xml:space="preserve">During crop data processing we realized that applying microgranulated fertilizers in concentrated amount (15-20 kg/ ha) we can reach the same crop-increasing effect as applying traditionally granulated fertilizers in greater amount (130-220 kg/ha).</w:t>
      </w:r>
      <w:r>
        <w:rPr>
          <w:color w:val="000000"/>
          <w:sz w:val="24"/>
          <w:szCs w:val="24"/>
        </w:rPr>
        <w:br/>
        <w:t xml:space="preserve">The year effect in 2013 was not strong as the amount and distribution of precipitation was satisfying. Thanks to this we could not experience significant differences between the crop results. For this reason I would like to propose the experiment for further examinations.</w:t>
      </w:r>
      <w:r>
        <w:rPr>
          <w:color w:val="000000"/>
          <w:sz w:val="24"/>
          <w:szCs w:val="24"/>
        </w:rPr>
        <w:br/>
        <w:t xml:space="preserve">Supposedly, in other years when the year effect is stronger we will experience significant differences in the crop results. We also can anticipate for bigger differences if the phosphorous supply of the soil is low.</w:t>
      </w:r>
      <w:r>
        <w:rPr>
          <w:color w:val="000000"/>
          <w:sz w:val="24"/>
          <w:szCs w:val="24"/>
        </w:rPr>
        <w:br/>
        <w:t xml:space="preserve">Starter fertilization is worth to be applied regarding economic considerations as well. If we apply the starter fertilizers and sow at the same time, we will save fuel and time, furthermore we will not disturb the soil so we will save water as well. If an area is well-supplied with nutrients we can apply the starter fertilization technology without basic fertilization. In this case we have to invest our money into the fertilization technology only next year in spring.</w:t>
      </w:r>
      <w:r>
        <w:rPr>
          <w:color w:val="000000"/>
          <w:sz w:val="24"/>
          <w:szCs w:val="24"/>
        </w:rPr>
        <w:br/>
        <w:t xml:space="preserve">However, we must not take advantage of the nutrient supply of our soil. In my opinion, fertilization should be based on the results of soil examination. Cultivation of plants is a complex activity, so farmers need to pay attention to every factor to validate them appropriately.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22853">
    <w:multiLevelType w:val="hybridMultilevel"/>
    <w:lvl w:ilvl="0" w:tplc="68771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22853">
    <w:abstractNumId w:val="17122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235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