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RITA</w:t>
            </w:r>
          </w:p>
          <w:p w:rsidR="00C275A3" w:rsidRDefault="00A96AEC" w:rsidP="00C275A3">
            <w:pPr>
              <w:pStyle w:val="Hallgatokepzes"/>
            </w:pPr>
            <w:r>
              <w:t>magyar–nyelv- és beszédfejlesztő tanári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szimbólum szövegképző ereje Petőfi Sándor prózájában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Petőfi Sándor két prózai alkotását, a Tigris és hiéna című drámát és A hóhér kötele című regényt elemeztem elsősorban a bosszú szimbolikájának tükrében, kitérve a keresztény szimbolika vizsgálatára is.</w:t>
      </w:r>
      <w:r>
        <w:rPr>
          <w:color w:val="000000"/>
          <w:sz w:val="24"/>
          <w:szCs w:val="24"/>
        </w:rPr>
        <w:br/>
        <w:t xml:space="preserve">Petőfi prózai munkássága kapcsán legfontosabb forrásom Martinkó András A prózaíró Petőfi című munkája volt, ezen kívül segítségül használtam Horváth János és Kerényi Ferenc Petőfi-monográfiáit is. A dolgozatom indító fejezete e munkák alapján összeállított, rövidebb áttekintést tartalmazza, tárgyalva a két vizsgált műnek a Felhők-ciklusban elfoglalt helyét.</w:t>
      </w:r>
      <w:r>
        <w:rPr>
          <w:color w:val="000000"/>
          <w:sz w:val="24"/>
          <w:szCs w:val="24"/>
        </w:rPr>
        <w:br/>
        <w:t xml:space="preserve">A szimbólum eltérő irodalomelméleti értelmezéseinek ismertetése után (Lotman, Ricoeur, Frye), a továbbiakban a ricoeuri szimbólumfelfogást és kategorizálást vettem az elemzés alapjául. A konkrét szimbólumértelmezéshez a Pál József és Újvári Edit által szerkesztett Szimbólumtár című munkából indultam ki.</w:t>
      </w:r>
      <w:r>
        <w:rPr>
          <w:color w:val="000000"/>
          <w:sz w:val="24"/>
          <w:szCs w:val="24"/>
        </w:rPr>
        <w:br/>
        <w:t xml:space="preserve">A dolgozatban a két prózai alkotást egymástól függetlenül, külön fejezetben elemeztem, elsőként a Tigris és hiéna című drámát vizsgáltam. A mű első alfejezetében a bosszú és a szereplők viszonyát értelmeztem szöveghelyekkel alátámasztva. Mindezek után a bosszú konkrét szimbólumait a szemantikailag kapcsolódó szimbólumokkal együtt rendszereztem. A kozmikus szimbólumok (víz, tűz, vér) mint gyűjtőpontok is funkcionáltak. Ezen felül a dráma kapcsán kiemeltem a szem szimbolikáját, amely a műben egyaránt kapcsolódik a bosszúhoz és a passzív érzékeléshez.</w:t>
      </w:r>
      <w:r>
        <w:rPr>
          <w:color w:val="000000"/>
          <w:sz w:val="24"/>
          <w:szCs w:val="24"/>
        </w:rPr>
        <w:br/>
        <w:t xml:space="preserve">A szimbólumelemzés után a keresztény szimbolika tárgyalására került sor a főszereplőkhöz kötötten: Saul és Béla esetében a krisztusi, illetve apostoli jegyekre, míg Predszláva és Borics személyéhez sátáni és alvilági attribútumokra összpontosítva.</w:t>
      </w:r>
      <w:r>
        <w:rPr>
          <w:color w:val="000000"/>
          <w:sz w:val="24"/>
          <w:szCs w:val="24"/>
        </w:rPr>
        <w:br/>
        <w:t xml:space="preserve">A következő nagy fejezetben A hóhér kötele című regényt elemeztem ugyancsak a kozmikus szimbolika tükrében, emellett az onirikus hattyú szimbólumot vizsgáltam.</w:t>
      </w:r>
      <w:r>
        <w:rPr>
          <w:color w:val="000000"/>
          <w:sz w:val="24"/>
          <w:szCs w:val="24"/>
        </w:rPr>
        <w:br/>
        <w:t xml:space="preserve">Ezt követően a regény keresztény szimbólumrendszerét részleteztem, amely a két kulcsszereplő, Máté és Róza köré épül. Számos helyen bibliai történésekre visszavezethető részletek szerepelnek (Ádám és Éva kiűzetése, özönvíz, kereszthalál). A regényelemzés utolsó részében a beszéd válságát vizsgáltam a nonverbális jelzések és a reszketés motívumának állandó jelenléte tükrében.</w:t>
      </w:r>
      <w:r>
        <w:rPr>
          <w:color w:val="000000"/>
          <w:sz w:val="24"/>
          <w:szCs w:val="24"/>
        </w:rPr>
        <w:br/>
        <w:t xml:space="preserve">Az elemzések alapján a vizsgált prózai alkotásokban egységes, összefüggő és gyakran keresztény vonatkozású szimbólumrendszer mutatható ki, így a dolgozat elején megfogalmazott elemzési szempont relevánsnak tekinthető a két mű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23287">
    <w:multiLevelType w:val="hybridMultilevel"/>
    <w:lvl w:ilvl="0" w:tplc="51669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23287">
    <w:abstractNumId w:val="26023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141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