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VÁGVÖLGYI</w:t>
            </w:r>
          </w:p>
          <w:p w:rsidR="00C275A3" w:rsidRDefault="00A96AEC" w:rsidP="00C275A3">
            <w:pPr>
              <w:pStyle w:val="Hallgatokepzes"/>
            </w:pPr>
            <w:r>
              <w:t>Chemist</w:t>
            </w:r>
            <w:r>
              <w:br/>
            </w:r>
            <w:r w:rsidR="00E77B23">
              <w:t>MSc, 3.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András Szekeres</w:t>
            </w:r>
          </w:p>
          <w:p w:rsidR="00DB4822" w:rsidRDefault="00DB4822" w:rsidP="009763E0">
            <w:pPr>
              <w:pStyle w:val="Konzulensektitulus"/>
            </w:pPr>
            <w:r w:rsidRPr="00DB4822">
              <w:t>senior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Purification and structural elucidation of bioactive peptaibol compounds produced by a Trichoderma harzianum strain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Filamentous fungi can produce a large number of secondary metabolites with promising biological effects. Molecular identification of these compounds and characterization of their biological activities are among the most important goals of studies performed at the interface of chemistry and biology research. An outstanding group of the secondary metabolites are the peptaibols, produced mainly by fungal species belonging to the genus Trichoderma. These compounds show broad spectrum of biological activities including antibacterial, antifugal and antiviral effects.</w:t>
      </w:r>
      <w:r>
        <w:rPr>
          <w:color w:val="000000"/>
          <w:sz w:val="24"/>
          <w:szCs w:val="24"/>
        </w:rPr>
        <w:br/>
        <w:t xml:space="preserve">In the present research work the peptaibol production ability T. harzianum SZMC 1874 strain was verified, which was previously selected by a biotest screening method. During these examinations, completely new, not published peptaibol molecules were discovered and their whole or partial sequences were determined. The strain was grown on malt-extract agar and its surface was extracted with chloroform. After an initial optimization process, the mass spectrometric analysis of the evaporated and methanolic resolved extract was started. For the sequence analysis of the compounds, an ion trap mass spectrometer was used and the characteristic ions and fragmentation patterns were identified using the stated rules based on the pre-experiments with the alamethicin standard. Based on our investigations 11 novel peptaibols were defined.</w:t>
      </w:r>
      <w:r>
        <w:rPr>
          <w:color w:val="000000"/>
          <w:sz w:val="24"/>
          <w:szCs w:val="24"/>
        </w:rPr>
        <w:br/>
        <w:t xml:space="preserve">Because the isobaric amino acids (Ile/Leu - Lxx, Iva/Val - Vxx ) or the D/L configuration of amino acids in the sequences were unable to determine with the used technique, we started the chromatographic purification of the compounds for the purpose of the further structure elucidations (amino acid analysis, NMR). Thus a semi preparative HPLC method was developed, which resulted pre-purified fractions of certain peptaibols, but the purity and the amounts of these compounds are not sufficient for the structure analysis and further purifications are needed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07578">
    <w:multiLevelType w:val="hybridMultilevel"/>
    <w:lvl w:ilvl="0" w:tplc="86124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07578">
    <w:abstractNumId w:val="41707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957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