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MÉSZÁROS</w:t>
            </w:r>
          </w:p>
          <w:p w:rsidR="00C275A3" w:rsidRDefault="00A96AEC" w:rsidP="00C275A3">
            <w:pPr>
              <w:pStyle w:val="Hallgatokepzes"/>
            </w:pPr>
            <w:r>
              <w:t>Biology</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Tajti MD PhD</w:t>
            </w:r>
          </w:p>
          <w:p w:rsidR="00DB4822" w:rsidRDefault="00DB4822" w:rsidP="00E11062">
            <w:pPr>
              <w:pStyle w:val="Konzulensek"/>
            </w:pPr>
            <w:r w:rsidRPr="00DB4822">
              <w:t>associate professor, SZTE ÁOK</w:t>
            </w:r>
          </w:p>
        </w:tc>
      </w:tr>
      <w:tr w:rsidR="00DB4822" w:rsidTr="00DB4822">
        <w:tc>
          <w:tcPr>
            <w:tcW w:w="9854" w:type="dxa"/>
          </w:tcPr>
          <w:p w:rsidR="00DB4822" w:rsidRPr="00DB4822" w:rsidRDefault="00DB4822" w:rsidP="004D7940">
            <w:pPr>
              <w:pStyle w:val="Konzulensek"/>
            </w:pPr>
            <w:r w:rsidRPr="00DB4822">
              <w:t>Bernadett Tuka PhD</w:t>
            </w:r>
          </w:p>
          <w:p w:rsidR="00DB4822" w:rsidRDefault="00DB4822" w:rsidP="00E11062">
            <w:pPr>
              <w:pStyle w:val="Konzulensek"/>
            </w:pPr>
            <w:r w:rsidRPr="00DB4822">
              <w:t>junior research fellow,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Migraine: relationship between PACAP and kynurenic acid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experimental and clinical data suggest that pituitary adenylate cyclase-activating polypeptide (PACAP) may have a crucial role in the activation of the trigeminovascular system (TS). Glutamatergic transmissions are also involved in the activation of the TS, which is supported by experimental results concerning to kynurenic acid (KYNA) analogues as potential NMDA receptor antagonists.</w:t>
      </w:r>
      <w:r>
        <w:rPr>
          <w:color w:val="000000"/>
          <w:sz w:val="24"/>
          <w:szCs w:val="24"/>
        </w:rPr>
        <w:br/>
        <w:t xml:space="preserve">Our aim was to investigate the PACAP-38-like immunoreactivity (PACAP-38-LI) in activated TS of the rat pre-treated by an effective KYNA derivative. Anaesthetized, adult male SPRD rats were used to evoke activation of the TS with electrical stimulation (ES) of the trigeminal ganglion (TRG) according to the following parameters: 30 min, 1mA, 10 Hz. Animals were treated with intravenously applied KYNA analogue 30 min prior to the ES. 180 minutes after the stimulation, blood samples were taken from the right cranial vena cava into anticoagulant and protease inhibitor containing tubes. After transcardial perfusion the caudal trigeminal nucleus (TNC) and TRGs were excised. Blood samples were centrifugated (4°C) then the plasma samples and nerve tissues were stored at -80°C until the PACAP-38 radioimmunoassay (RIA) measurements.</w:t>
      </w:r>
      <w:r>
        <w:rPr>
          <w:color w:val="000000"/>
          <w:sz w:val="24"/>
          <w:szCs w:val="24"/>
        </w:rPr>
        <w:br/>
        <w:t xml:space="preserve">In response to the ES of the TS, the PACAP-38-LI was significantly elevated both in TNC and the stimulated ganglion, which was mitigated by KYNA analogue pre-treatment. There were no significant changes detected in the plasma and the contralateral TRG.</w:t>
      </w:r>
      <w:r>
        <w:rPr>
          <w:color w:val="000000"/>
          <w:sz w:val="24"/>
          <w:szCs w:val="24"/>
        </w:rPr>
        <w:br/>
        <w:t xml:space="preserve">It is assumed that the ES can induce a massive PACAP-38 release from the peripheral and central terminals of the primary sensory neurons exerting its vasodilating, sensitizating and mast cell degranulating effect. The KYNA derivative is partly able to preclude this effect proved by several literatures about signalling crosstalk between PACAP and NMDA receptors. In the future PACAP may serve as a potential biomarker for migraine and the development of KYNA analogues can provide therapeutical opportunities in the headache diseases.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988574">
    <w:multiLevelType w:val="hybridMultilevel"/>
    <w:lvl w:ilvl="0" w:tplc="328336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988574">
    <w:abstractNumId w:val="629885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26622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