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SZABADI</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med. habil. Árpád Párdutz, Phd </w:t>
            </w:r>
          </w:p>
          <w:p w:rsidR="00DB4822" w:rsidRDefault="00DB4822" w:rsidP="00E11062">
            <w:pPr>
              <w:pStyle w:val="Konzulensek"/>
            </w:pPr>
            <w:r w:rsidRPr="00DB4822">
              <w:t>associate professor, SZTE ÁOK</w:t>
            </w:r>
          </w:p>
        </w:tc>
      </w:tr>
      <w:tr w:rsidR="00DB4822" w:rsidTr="00DB4822">
        <w:tc>
          <w:tcPr>
            <w:tcW w:w="9854" w:type="dxa"/>
          </w:tcPr>
          <w:p w:rsidR="00DB4822" w:rsidRPr="00DB4822" w:rsidRDefault="00DB4822" w:rsidP="004D7940">
            <w:pPr>
              <w:pStyle w:val="Konzulensek"/>
            </w:pPr>
            <w:r w:rsidRPr="00DB4822">
              <w:t>Zsuzsanna Bohár</w:t>
            </w:r>
          </w:p>
          <w:p w:rsidR="00DB4822" w:rsidRDefault="00DB4822" w:rsidP="00E11062">
            <w:pPr>
              <w:pStyle w:val="Konzulensek"/>
            </w:pPr>
            <w:r w:rsidRPr="00DB4822">
              <w:t>junior research fellow,  MTA-SZTE, Research Group of Neuroscience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Gasserian ganglion stimulation on the c-Fos and nNOS expression in the caudal trigeminal nucleus of the rat – modulation by Brilliant Blue 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Migraine is a primary headache disorder, whit high prevalence, but the pathomechanism of the disease is not fully understood. However, the activation and both peripheral and central sensitization of the trigemino-vascular system plays an essential role in the development of the disorder.</w:t>
      </w:r>
      <w:r>
        <w:rPr>
          <w:color w:val="000000"/>
          <w:sz w:val="24"/>
          <w:szCs w:val="24"/>
        </w:rPr>
        <w:br/>
        <w:t xml:space="preserve">For the detection of trigeminal activation, the oncoprotein c-Fos provides an indirect method. The key player of the sensitization mechanisms is nitrogen monoxide (NO) and based on previous results the synthesizing enzyme of NO, neuronal nitrogen oxide synthase (nNOS) is appropriate marker for these processes.</w:t>
      </w:r>
      <w:r>
        <w:rPr>
          <w:color w:val="000000"/>
          <w:sz w:val="24"/>
          <w:szCs w:val="24"/>
        </w:rPr>
        <w:br/>
        <w:t xml:space="preserve">Recent findings suggest, that purinergic signalling also has an important role in modulation of nociceptive processing, thus in headache pathomechanism. Attention is dedicated to P2X7 receptor (P2X7R), after its antagonists were able to attenuate central sensitization and allodynia.</w:t>
      </w:r>
      <w:r>
        <w:rPr>
          <w:color w:val="000000"/>
          <w:sz w:val="24"/>
          <w:szCs w:val="24"/>
        </w:rPr>
        <w:br/>
        <w:t xml:space="preserve">We examined the modulatory effects of P2X7R antagonism on trigeminal activation induced by the electrical stimulation of the Gasserian ganglion.</w:t>
      </w:r>
      <w:r>
        <w:rPr>
          <w:color w:val="000000"/>
          <w:sz w:val="24"/>
          <w:szCs w:val="24"/>
        </w:rPr>
        <w:br/>
        <w:t xml:space="preserve">Twenty-one male rats were divided into four groups. The animals in the first group received physiological saline intravenously (i.v.) and sham stimulation. The second group received i.v. physiological saline and they were stimulated by 5 Hz, 0.5 mA square pulses for 30 minutes. The third group received the P2X7R antagonist Brilliant Blue G (BBG) (50 mg/kg i.v.), and was sham stimulated, while the fourth group received BBG and was stimulated. Four hours after stimulation the animals were transcardially perfused and fixed. The caudal trigeminal nuclei (TNC) were removed and stained for c-Fos and nNOS.</w:t>
      </w:r>
      <w:r>
        <w:rPr>
          <w:color w:val="000000"/>
          <w:sz w:val="24"/>
          <w:szCs w:val="24"/>
        </w:rPr>
        <w:br/>
        <w:t xml:space="preserve">In agreement with previous data, electrical stimulation significantly increased the number of c-Fos positive cells ipsilaterally to the stimulation. Pretreatment with BBG mitigated this increase. Levels of nNOS were not changed, and no effect of BBG could be observed.</w:t>
      </w:r>
      <w:r>
        <w:rPr>
          <w:color w:val="000000"/>
          <w:sz w:val="24"/>
          <w:szCs w:val="24"/>
        </w:rPr>
        <w:br/>
        <w:t xml:space="preserve">In our experiments, the increase in c-Fos positive cell numbers confirms trigeminal activation caused by the electrical stimulation of the Gasserian ganglion, however unchanged expression of nNOS suggests, that with the parameters applied no sensitization was induced.</w:t>
      </w:r>
      <w:r>
        <w:rPr>
          <w:color w:val="000000"/>
          <w:sz w:val="24"/>
          <w:szCs w:val="24"/>
        </w:rPr>
        <w:br/>
        <w:t xml:space="preserve">Blocking P2X7Rs decreased the activation of the trigeminal system, suggesting an important role of P2X7R in trigeminal nociceptive processing. Further examination of the function of P2X7Rs can help us to understand the pathomechanisms of headaches.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068708">
    <w:multiLevelType w:val="hybridMultilevel"/>
    <w:lvl w:ilvl="0" w:tplc="55865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068708">
    <w:abstractNumId w:val="600687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862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