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VRAUKÓ VERONIKA</w:t>
            </w:r>
          </w:p>
          <w:p w:rsidR="00C275A3" w:rsidRDefault="00A96AEC" w:rsidP="00C275A3">
            <w:pPr>
              <w:pStyle w:val="Hallgatokepzes"/>
            </w:pPr>
            <w:r>
              <w:t>Molekuláris bionika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Párdutz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Bohár Zsuzsanna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 MTA-SZTE, Idegtudományi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P2X7 receptor antagonista hatásának vizsgálata a formalin indukált gyulladásos fájdalommodellben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migrén az egyik leggyakoribb neurológiai megbetegedés, mely a rohamok súlyossága miatt kiemelt jelentőségű. A betegség patomechanizmusával kapcsolatban számos elmélet született, ám egyik sem tudta a betegség minden tünetét magyarázni. A rohamok kapcsán valószínűsíthető a trigeminovascularis rendszer aktiválódása és szenzitizációja, mely utóbbi jelenség meghatározó a klinikum szempontjából.</w:t>
      </w:r>
      <w:r>
        <w:rPr>
          <w:color w:val="000000"/>
          <w:sz w:val="24"/>
          <w:szCs w:val="24"/>
        </w:rPr>
        <w:br/>
        <w:t xml:space="preserve">Irodalmi adatok alapján a fájdalomérző rendszer szenzitizációs folyamataiban a purinreceptorok közé tartozó P2X7 receptor (P2X7R) meghatározó szerepet játszik, mivel aktivációja közvetetten növeli a neuronok excitabilitását, továbbá különböző gyulladáskeltő anyagok expresszálódását váltja ki, ezáltal kulcsszerepet játszik a fájdalom modulálásában.</w:t>
      </w:r>
      <w:r>
        <w:rPr>
          <w:color w:val="000000"/>
          <w:sz w:val="24"/>
          <w:szCs w:val="24"/>
        </w:rPr>
        <w:br/>
        <w:t xml:space="preserve">Kísérletünk célja az volt, hogy megvizsgáljuk a P2X7R szelektív antagonista Coomassie Brilliant Blue G (BBG) esetleges moduláló hatását a trigeminális rendszer aktivációjának ill. szenzitizációjának egyik állatkísérletes modelljében a formalin indukált orofaciális gyulladásos fájdalom esetén.</w:t>
      </w:r>
      <w:r>
        <w:rPr>
          <w:color w:val="000000"/>
          <w:sz w:val="24"/>
          <w:szCs w:val="24"/>
        </w:rPr>
        <w:br/>
        <w:t xml:space="preserve">Ehhez 52 db hím Sprague-Dawley patkányt használtunk fel. Az állatokat 2 csoportra osztottuk, az első csoport (n=26) fiziológiás sóoldatot kapott, míg a második (n=26) 50 mg/kg BBG-t előkezelésként iv. 110 perccel az injekció után egy 30X30X30 méretű tükrös dobozba helyeztük az állatokat 10 percre habituáció céljából. 10 perccel a szoktatás után mindkét csoport fele (n=13) szubkután 50 μl 1,5%-os formalin injekciót kapott a jobb oldali bajuszpárnájába, míg a másik fele (n=13) fiziológiás sóoldatot. Ezt követően visszahelyeztük az állatokat és mértük az oltott bajuszpárna oldal dörzsölésével eltöltött időt 45 percig. A viselkedésvizsgálatok után a patkányokat mély altatásban perfundáltuk, a caudalis trigeminalis magot (TNC) eltávolítottuk és metszeteket készítettünk a neuronális aktivitás markereként használt c-Fos immunhisztokémiai festése céljából.</w:t>
      </w:r>
      <w:r>
        <w:rPr>
          <w:color w:val="000000"/>
          <w:sz w:val="24"/>
          <w:szCs w:val="24"/>
        </w:rPr>
        <w:br/>
        <w:t xml:space="preserve">Eredményeink azt mutatták, hogy BBG nem befolyásolta a formalin indukált nociceptív viselkedésmintát és nem volt képes kivédeni a formalin kezelés okozta ipsilateralis c-fos sejtszám emelkedést a TNC-ben.</w:t>
      </w:r>
      <w:r>
        <w:rPr>
          <w:color w:val="000000"/>
          <w:sz w:val="24"/>
          <w:szCs w:val="24"/>
        </w:rPr>
        <w:br/>
        <w:t xml:space="preserve">Annak ellenére, hogy a BBG más fájdalom modellekben antinociceptív hatásúnak bizonyult, jelen kísérleteinkben ezt nem sikerült igazolni. Felvetődik, hogy a trigeminális nocicepcióban a P2X7R funkciója eltér az egyéb lokalizációjú fájdalomban játszott szerepétől.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36629">
    <w:multiLevelType w:val="hybridMultilevel"/>
    <w:lvl w:ilvl="0" w:tplc="385791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36629">
    <w:abstractNumId w:val="669366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119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