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PODMANICZKI</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Gallé</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Fusarium infection on the antioxidant and detoxification systems in the flag leaves of winter wheat lines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Fusarium Head Blight causes serious problems for agricultural production. To solve these problems time to time resistant lines are bred, with various state of resistance or tolerance. To succeed these breeding processes the understanding of the physiological and molecular components of the defence mechanisms is necessary. The aim of our work was the identification of some response reactions of a resistant and a total tolerant line, which can count for their successful acclimatisation despite to sensitive lines.</w:t>
      </w:r>
      <w:r>
        <w:rPr>
          <w:color w:val="000000"/>
          <w:sz w:val="24"/>
          <w:szCs w:val="24"/>
        </w:rPr>
        <w:br/>
        <w:t xml:space="preserve">In our experiments we used 4 wheat lines (2 lines were resistant, 2 lines were sensitive), which were infected with Fusarium graminearum and F. culmorum isolates at anthesis. Flag leaves were used for sampling in the milk stage of grain filling (approx 14 days after anthesis). We determined the effect of the infection on the non-enzymatic (ascorbate, glutathione content) and the enzymatic antioxidant systems (superoxide dismutase-SOD, catalase-CAT, glutathione reductase-GR, glutathione transferase-GST, guaiacol peroxidase- GPOX), and the changes of the transcript amounts of selected GST and peroxidase genes.</w:t>
      </w:r>
      <w:r>
        <w:rPr>
          <w:color w:val="000000"/>
          <w:sz w:val="24"/>
          <w:szCs w:val="24"/>
        </w:rPr>
        <w:br/>
        <w:t xml:space="preserve">The Fusarium infection showed visible symptoms on the ears and the effect of it was detectable in the flag leaves. Both fungi infections (F. graminearum and F. culmorum) gave similar reactions on the lines. The infections had less effect on the Sumai3, the totally resistant cultivar. The presence of the pathogen increased the glutathione content and enhanced level of SOD, GST and GPOX activity in the resistant lines.</w:t>
      </w:r>
      <w:r>
        <w:rPr>
          <w:color w:val="000000"/>
          <w:sz w:val="24"/>
          <w:szCs w:val="24"/>
        </w:rPr>
        <w:br/>
        <w:t xml:space="preserve">As the GST and GPOX activity were increased after the infections in the resistant wheat lines, we wanted to find some genes which can be connected to these changes. We have chosen seven GST genes from different groups of GSTs and one pathogen activated peroxidase gene. Gene expression changes were outstanding in the case of the infected resistant line and less effect were in the transcript amount of the selected genes in the sensitive lines. The inoculation had least effect the totally resistant Sumai3 cultivar.</w:t>
      </w:r>
      <w:r>
        <w:rPr>
          <w:color w:val="000000"/>
          <w:sz w:val="24"/>
          <w:szCs w:val="24"/>
        </w:rPr>
        <w:br/>
        <w:t xml:space="preserve">According to our result we can suggest that in the infected, tolerant wheat line the GST and GPOX activity, and phi and tau group GSTs played a role in the systematic acquired resistance, which could count for the yield stability of this line.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86360">
    <w:multiLevelType w:val="hybridMultilevel"/>
    <w:lvl w:ilvl="0" w:tplc="27562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86360">
    <w:abstractNumId w:val="99586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300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