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VADKERTI ÁGNES</w:t>
            </w:r>
          </w:p>
          <w:p w:rsidR="00C275A3" w:rsidRDefault="00A96AEC" w:rsidP="00C275A3">
            <w:pPr>
              <w:pStyle w:val="Hallgatokepzes"/>
            </w:pPr>
            <w:r>
              <w:t>Biology BSc.</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Imelda Somodi PhD</w:t>
            </w:r>
          </w:p>
          <w:p w:rsidR="00DB4822" w:rsidRDefault="00DB4822" w:rsidP="009763E0">
            <w:pPr>
              <w:pStyle w:val="Konzulensektitulus"/>
            </w:pPr>
            <w:r w:rsidRPr="00DB4822">
              <w:t>research fellow,  Hungarian Academy of Sciences, Institute of Ecology and Botany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species number and cover due to the expansion of Calamagrostis epigeios in a loess grassland near Tard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have followed the vegetation dynamics in a loess grassland near Tard in permanent quadrats since 1979. The area was originally used for sheep grazing until the abandonment in the early 1980s. The aim of our research was to investigate the changes of species number, composition and abundance structure during this 35-year period – with special regard to the effect of Calamagrostis epigeios, which appeared in the study site in 1983. The background of species number change has been investigated using a generalized linear model (GLM ) with elapsed time and mass C. epigeios presence (binary varaible: dominant/not dominant) as explanatory variables. We explored the changes of species composition and abundance conditions with the help of Principal Component Analysis (PCA) using the species’ percentage cover values and binary data as well.</w:t>
      </w:r>
      <w:r>
        <w:rPr>
          <w:color w:val="000000"/>
          <w:sz w:val="24"/>
          <w:szCs w:val="24"/>
        </w:rPr>
        <w:br/>
        <w:t xml:space="preserve">According to our results, the time and the dominance of C. epigeios have a negative impact on species number. In terms of species composition, vegetation dynamics proceeded in two main directions: on the one hand the closing of gaps was observed indicated by dominance of Festuca rupicola. Parallel to this new species became frequent: Campanula rotundifolia, Helictotrichon adsurgens, Danthonia alpina, Dianthus pontederae. On the other hand C. epigeios appeared and became the dominant at half of the site inducing a specific vegetation dynamics trajectory with typical subordinate species (Teucrium chamaedrys, Thesium linophyllon). Woody species such as Quercus cerris, Acer tataricum, Rosa gallica and Crataegus monogyna are becoming more frequent, their presence is particularly conspicuous in the C. epigeios-dominated parts. We conclude that the dynamics proceeds towards the formation of a forest steppe, with the temporary expansion of C. epigeios.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20432">
    <w:multiLevelType w:val="hybridMultilevel"/>
    <w:lvl w:ilvl="0" w:tplc="8502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20432">
    <w:abstractNumId w:val="78720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281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