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JÚLIA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Deák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feltételezett ubikvitin receptor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ubikvitin-proteaszóma rendszerben bomlik le a rövid féléletidejű vagy meghibásodott nukleáris és citoplazmatikus fehérjék 90%-a. A szelektív felismerést követően az ubikvitinációs enzimkaszkád egy poliubikvitin lánccal jelöli meg a fehérjét. A jelként szolgáló poliubikvitin láncot poliubikvitin receptorok ismerik fel, majd a megjelölt fehérjét a proteolítikusan aktív 26S proteaszómához szállítják lebontásra.</w:t>
      </w:r>
      <w:r>
        <w:rPr>
          <w:color w:val="000000"/>
          <w:sz w:val="24"/>
          <w:szCs w:val="24"/>
        </w:rPr>
        <w:br/>
        <w:t xml:space="preserve">Drosophila melanogasterben három az UBA/UBL fehérjék családjába tartozó poliubikvitin receptor ismert. Azonban a poliubikvitin láncok sokfélesége és eltérő szerepe miatt feltételezzük további poliubikvitin receptorok létezését is. Aminosav szekvencia homológia alapján úgy véljük, hogy egy újabb poliubikvitin receptort kódoló gént sikerült felfedeznünk, a CG31528-at. Ezért célul tűztük ki ennek a génnek a jellemzését, funkciójának vizsgálatát különböző klasszikus genetikai, molekuláris biológiai és biokémiai módszerek felhasználásával.</w:t>
      </w:r>
      <w:r>
        <w:rPr>
          <w:color w:val="000000"/>
          <w:sz w:val="24"/>
          <w:szCs w:val="24"/>
        </w:rPr>
        <w:br/>
        <w:t xml:space="preserve">CG31528 specifikus transzgenikus RNS interferencia törzseket állított elő csoportunk. Az RNS interferencia indukciójával, valamint tesztisz specifikus driver törzsekhez való keresztezéssel teszteltem a gén működésének jelentőségét, funkcióját, csökkent aktivitásának fenotípusbeli hatásait.</w:t>
      </w:r>
      <w:r>
        <w:rPr>
          <w:color w:val="000000"/>
          <w:sz w:val="24"/>
          <w:szCs w:val="24"/>
        </w:rPr>
        <w:br/>
        <w:t xml:space="preserve">Munkatársaim pGEX-4T-1 expressziós vektorba klónozták a CG31528 cDNS-t, amely lehetővé teszi a vizsgált gén által kódolt fehérje glutation S-transzferázzal fúzionált változatának baktériumokban való termeltetését. A GST-tagelt fehérjét tisztítottam és Glutathione-Sepharose gélszűréses kísérlettel, valamint Western-blottal vizsgáltam köt-e poliubikvitinált fehérjéket, illetve kötődik-e a proteaszómához.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96137">
    <w:multiLevelType w:val="hybridMultilevel"/>
    <w:lvl w:ilvl="0" w:tplc="89082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96137">
    <w:abstractNumId w:val="60396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388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