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VARGA</w:t>
            </w:r>
          </w:p>
          <w:p w:rsidR="00C275A3" w:rsidRDefault="00A96AEC" w:rsidP="00C275A3">
            <w:pPr>
              <w:pStyle w:val="Hallgatokepzes"/>
            </w:pPr>
            <w:r>
              <w:t>Biologist</w:t>
            </w:r>
            <w:r>
              <w:br/>
            </w:r>
            <w:r w:rsidR="00E77B23">
              <w:t>MSc, 3.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Peter Deak</w:t>
            </w:r>
          </w:p>
          <w:p w:rsidR="00DB4822" w:rsidRDefault="00DB4822" w:rsidP="009763E0">
            <w:pPr>
              <w:pStyle w:val="Konzulensektitulus"/>
            </w:pPr>
            <w:r w:rsidRPr="00DB4822">
              <w:t>associate professor, SZTE TTIK</w:t>
            </w:r>
          </w:p>
        </w:tc>
      </w:tr>
      <w:tr w:rsidR="00DB4822" w:rsidTr="00DB4822">
        <w:tc>
          <w:tcPr>
            <w:tcW w:w="9854" w:type="dxa"/>
          </w:tcPr>
          <w:p w:rsidR="00DB4822" w:rsidRPr="00DB4822" w:rsidRDefault="00DB4822" w:rsidP="009763E0">
            <w:pPr>
              <w:pStyle w:val="Konzulenseknev"/>
            </w:pPr>
            <w:r w:rsidRPr="00DB4822">
              <w:t>Dr. Margit Pal</w:t>
            </w:r>
          </w:p>
          <w:p w:rsidR="00DB4822" w:rsidRDefault="00DB4822" w:rsidP="009763E0">
            <w:pPr>
              <w:pStyle w:val="Konzulensektitulus"/>
            </w:pPr>
            <w:r w:rsidRPr="00DB4822">
              <w:t>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Characterisation of a gene coding for a putative ubiquitin receptor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90% of the short-lived or damaged nuclear and cytoplasmic proteins are degraded by the ubiquitin-proteasome system. After selective recognition, a ubiquitination enzyme cascade marks these proteins for degradation by attaching a polyubiquitin chain to them. The polyubiquitin chains serve as signals and recognized by polyubiquitin receptors, which transport the marked proteins to the proteolytically active 26S proteasome for degradation.</w:t>
      </w:r>
      <w:r>
        <w:rPr>
          <w:color w:val="000000"/>
          <w:sz w:val="24"/>
          <w:szCs w:val="24"/>
        </w:rPr>
        <w:br/>
        <w:t xml:space="preserve">There are three known polyubiquitin receptors in Drosophila melanogaster which belongs to the UBA/UBL protein family. However, because of the variability and different function of the poliubiquitin chains we believe that more polyubiquitin receptors exist. Based on amino acid sequence homology we identified the CG31528 gene as the one coding for a putative polyubiquitin receptor. Our aim is the characterization of this gene using different classical genetic, molecular biological and biochemical methods.</w:t>
      </w:r>
      <w:r>
        <w:rPr>
          <w:color w:val="000000"/>
          <w:sz w:val="24"/>
          <w:szCs w:val="24"/>
        </w:rPr>
        <w:br/>
        <w:t xml:space="preserve">We have established CG31528 specific transgenic RNA interference lines. I have investigated the function of the gene and the effect of its reduced activity on the phenotype after inducing the RNA interference and by crossing the RNA interference lines to different testis specific drivers.</w:t>
      </w:r>
      <w:r>
        <w:rPr>
          <w:color w:val="000000"/>
          <w:sz w:val="24"/>
          <w:szCs w:val="24"/>
        </w:rPr>
        <w:br/>
        <w:t xml:space="preserve">The CG31528 cDNA has been cloned to pGEX-4T-1 expression vector by my co-workers. Using this construct it is possible to express the protein coded by the gene of our interest fused with glutathione-S-transferase tag in bacteria. I have purified the protein with GST-tag, and I have examined it using Glutathione-Sepharose affinity chromatography. Using Western-blot, I have investigated whether the protein binds polyubiquitinated proteins and also whether it binds to the proteasome.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97523">
    <w:multiLevelType w:val="hybridMultilevel"/>
    <w:lvl w:ilvl="0" w:tplc="23030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97523">
    <w:abstractNumId w:val="58397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0602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