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JAGER</w:t>
            </w:r>
          </w:p>
          <w:p w:rsidR="00C275A3" w:rsidRDefault="00A96AEC" w:rsidP="00C275A3">
            <w:pPr>
              <w:pStyle w:val="Hallgatokepzes"/>
            </w:pPr>
            <w:r>
              <w:t>Astronomy</w:t>
            </w:r>
            <w:r>
              <w:br/>
            </w:r>
            <w:r w:rsidR="00E77B23">
              <w:t>MSc, 7.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Jozsef Vinko</w:t>
            </w:r>
          </w:p>
          <w:p w:rsidR="00DB4822" w:rsidRDefault="00DB4822" w:rsidP="009763E0">
            <w:pPr>
              <w:pStyle w:val="Konzulensektitulus"/>
            </w:pPr>
            <w:r w:rsidRPr="00DB4822">
              <w:t>associate professor, SZTE TTIK</w:t>
            </w:r>
          </w:p>
        </w:tc>
      </w:tr>
      <w:tr w:rsidR="00DB4822" w:rsidTr="00DB4822">
        <w:tc>
          <w:tcPr>
            <w:tcW w:w="9854" w:type="dxa"/>
          </w:tcPr>
          <w:p w:rsidR="00DB4822" w:rsidRPr="00DB4822" w:rsidRDefault="00DB4822" w:rsidP="009763E0">
            <w:pPr>
              <w:pStyle w:val="Konzulenseknev"/>
            </w:pPr>
            <w:r w:rsidRPr="00DB4822">
              <w:t>Dr. Tamas Szalai</w:t>
            </w:r>
          </w:p>
          <w:p w:rsidR="00DB4822" w:rsidRDefault="00DB4822" w:rsidP="009763E0">
            <w:pPr>
              <w:pStyle w:val="Konzulensektitulus"/>
            </w:pPr>
            <w:r w:rsidRPr="00DB4822">
              <w:t>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Inferring physical parameters of supernova explosions via light curve modeling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Supernovae are extremely energetic explosions, which highlight the violent deaths of various types of stars. Studying such cosmic explosions may be important because of several reasons. Supernovae play a key role in cosmic nucleosynthesis processes, and they are also the anchors of methods of measuring extragalactic distances. Several exotic physical processes take place in the exploding ejecta produced by the explosion. At present there are two known basic types of supernovae. The so-called Type Ia supernovae are thermonuclear explosions of white dwarf stars in binary systems, while the core-collapse supernovae are caused by gravitation-induced collapse of the iron core in massive (i.e. more that 8 solar mass) stars. The various types of the latter events are mainly due to differences between the physical state of their progenitors right before the explosion (initial mass, mass-loss, chemical composition, the presence of a companion star).</w:t>
      </w:r>
    </w:p>
    <w:p>
      <w:pPr>
        <w:widowControl w:val="on"/>
        <w:pBdr/>
        <w:spacing w:before="240" w:after="240" w:line="240" w:lineRule="auto"/>
        <w:ind w:left="0" w:right="0"/>
        <w:jc w:val="left"/>
      </w:pPr>
      <w:r>
        <w:rPr>
          <w:color w:val="000000"/>
          <w:sz w:val="24"/>
          <w:szCs w:val="24"/>
        </w:rPr>
        <w:t xml:space="preserve">In this work I present the comparative analysis of the light variation of two core-collapse supernovae. SN 2013ej is Type II-P, so it belongs to one of the most frequent types, while SN 2014G is a representative of the less frequent, Type II-L supernovae.</w:t>
      </w:r>
    </w:p>
    <w:p>
      <w:pPr>
        <w:widowControl w:val="on"/>
        <w:pBdr/>
        <w:spacing w:before="240" w:after="240" w:line="240" w:lineRule="auto"/>
        <w:ind w:left="0" w:right="0"/>
        <w:jc w:val="left"/>
      </w:pPr>
      <w:r>
        <w:rPr>
          <w:color w:val="000000"/>
          <w:sz w:val="24"/>
          <w:szCs w:val="24"/>
        </w:rPr>
        <w:t xml:space="preserve">In my work I used the observations made by the Baja Astrophysical Robotic Telescope at the Astronomical Observatory of Bács-Kiskun County, and computed digital photometry from these data using the IRAF image processing environment as well as self-developed C-codes and shell scripts. After correcting the images for the usual effects (dark noise, etc), I determined the brightness of the supernovae on each frame, and transformed them into the standard system. Next, I modeled the brightness as a function of time (i.e. the light curve) with numerical codes developed by myself and others. I determined the most important basic physical parameters of the two supernovae, i.e. the radius of the progenitor star, the mass of the ejected envelope, the mass of the radioactive nickel synthesized during the explosion, etc...</w:t>
      </w:r>
    </w:p>
    <w:p>
      <w:pPr>
        <w:widowControl w:val="on"/>
        <w:pBdr/>
        <w:spacing w:before="240" w:after="240" w:line="240" w:lineRule="auto"/>
        <w:ind w:left="0" w:right="0"/>
        <w:jc w:val="left"/>
      </w:pPr>
      <w:r>
        <w:rPr>
          <w:color w:val="000000"/>
          <w:sz w:val="24"/>
          <w:szCs w:val="24"/>
        </w:rPr>
        <w:t xml:space="preserve">My results suggest that the progenitor of the Type II-P SN 2013ej was a massive supergiant star (R ~ 360 solar radius, ejected mass ~ 4,55 solar mass), which is in accord with the theoretical predictions. The progenitor of SN 2014G, however, turned out to be a less extended, less massive star (R ~ 42 solar radius, M ~ 0,65 solar mass), which had a less dense outer envelope, but in this explosion more radioactive nickel was synthesized than in the case of SN 2013ej.</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48566">
    <w:multiLevelType w:val="hybridMultilevel"/>
    <w:lvl w:ilvl="0" w:tplc="37754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48566">
    <w:abstractNumId w:val="17648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9614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