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CSABA KŐRÖS </w:t>
            </w:r>
          </w:p>
          <w:p w:rsidR="00C275A3" w:rsidRDefault="00A96AEC" w:rsidP="00C275A3">
            <w:pPr>
              <w:pStyle w:val="Hallgatokepzes"/>
            </w:pPr>
            <w:r>
              <w:t>Physics</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Varjú</w:t>
            </w:r>
          </w:p>
          <w:p w:rsidR="00DB4822" w:rsidRDefault="00DB4822" w:rsidP="00E11062">
            <w:pPr>
              <w:pStyle w:val="Konzulensek"/>
            </w:pPr>
            <w:r w:rsidRPr="00DB4822">
              <w:t>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Classical and quantum -mechanical model of high harmonic generation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project was to compare the classical and semi-classical models of high harmonic generation. High-order harmonic generation is a nonlinear optical phenomena, exploited to generate attosecond pulses. When we focus a laser pulse to a high intensity onto a small pressure gas target, we can observe the odd multiples of the driving frequency. The intensity drops rapidly for the first few harmonics, but after this short perturbative regime, a far-reaching plateau is formed, in which the harmonics have nearly constant intensity, ending in a sudden cutoff. The explanation of this process is that the electron may be ionized by the intensive laser field, and after its motion in the continuum it might recombine, if it is driven back by the laser field toward the ionic core, which implies the emission of a high energy photon.</w:t>
      </w:r>
      <w:r>
        <w:rPr>
          <w:color w:val="000000"/>
          <w:sz w:val="24"/>
          <w:szCs w:val="24"/>
        </w:rPr>
        <w:br/>
        <w:t xml:space="preserve">Because of the high photon density, we can treat classically the influence of laser field to the atom. If we neglect the quantum -mechanical nature of the electron and solve the Newton-equation, we get surprisingly precise results. Moreover, we can describe the electron more accurately with the tools of quantum -mechanics (strong field approximation of the Schrödinger -equation).</w:t>
      </w:r>
      <w:r>
        <w:rPr>
          <w:color w:val="000000"/>
          <w:sz w:val="24"/>
          <w:szCs w:val="24"/>
        </w:rPr>
        <w:br/>
        <w:t xml:space="preserve">I made calculations with the two models for different laser fields, with the help of MathCad programme. I specified the highest harmonics (the cutoff), the resulting spectra, and compared the results of two models.</w:t>
      </w:r>
    </w:p>
    <w:p>
      <w:pPr>
        <w:widowControl w:val="on"/>
        <w:pBdr/>
        <w:spacing w:before="240" w:after="240" w:line="240" w:lineRule="auto"/>
        <w:ind w:left="0" w:right="0"/>
        <w:jc w:val="left"/>
      </w:pPr>
      <w:r>
        <w:rPr>
          <w:color w:val="000000"/>
          <w:sz w:val="24"/>
          <w:szCs w:val="24"/>
        </w:rPr>
        <w:drawing>
          <wp:inline distT="0" distB="0" distL="0" distR="0">
            <wp:extent cx="4924800" cy="2102400"/>
            <wp:docPr id="623781" name="name154afa386b67e4" descr="imgtmp_34218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4218_int_1.jpg"/>
                    <pic:cNvPicPr/>
                  </pic:nvPicPr>
                  <pic:blipFill>
                    <a:blip r:embed="rId154afa386b6790" cstate="print"/>
                    <a:stretch>
                      <a:fillRect/>
                    </a:stretch>
                  </pic:blipFill>
                  <pic:spPr>
                    <a:xfrm>
                      <a:off x="0" y="0"/>
                      <a:ext cx="4924800" cy="2102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1. figure: Classical and semi-classical trajectories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31494">
    <w:multiLevelType w:val="hybridMultilevel"/>
    <w:lvl w:ilvl="0" w:tplc="4809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31494">
    <w:abstractNumId w:val="15531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879944" Type="http://schemas.openxmlformats.org/officeDocument/2006/relationships/numbering" Target="numbering.xml"/><Relationship Id="rId154afa386b6790" Type="http://schemas.openxmlformats.org/officeDocument/2006/relationships/image" Target="media/imgrId154afa386b679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