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LÉNÁRD GULYÁS OLDAL</w:t>
            </w:r>
          </w:p>
          <w:p w:rsidR="00C275A3" w:rsidRDefault="00A96AEC" w:rsidP="00C275A3">
            <w:pPr>
              <w:pStyle w:val="Hallgatokepzes"/>
            </w:pPr>
            <w:r>
              <w:t>Physics</w:t>
            </w:r>
            <w:r>
              <w:br/>
            </w:r>
            <w:r w:rsidR="00E77B23">
              <w:t>MSc, 9.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A.P.Kovács</w:t>
            </w:r>
          </w:p>
          <w:p w:rsidR="00DB4822" w:rsidRDefault="00DB4822" w:rsidP="00E11062">
            <w:pPr>
              <w:pStyle w:val="Konzulensek"/>
            </w:pPr>
            <w:r w:rsidRPr="00DB4822">
              <w:t>Assistant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Disperion Curve Measurement of Solid Core Photonics Crystal Fiber with Spectral Interferometry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aim was to determine the dispersion curve of a solid core photonic crystal fibre having a small core and high numerical aperture, which characterizes well the effect of the fibre on the temporal shape of the ultra-short laser pulses. I have built a spectrally resolved Mach-Zehnder interferometer, which was illuminated by a Ti–sapphire laser with 200-mW average power. The optical fibre to be measured was placed in the sample arm of the interferometer and the laser light was coupled into the fibre by a microscope objective lens with a numerical aperture of 0.5. After the fibre an achromatic lens was used to collimate the light leaving the fibre. A spectrometer with smaller and another one with larger spectral resolution were placed at the output of the interferometer. The spectrally resolved interferograms recorded by the spectrometers were evaluated with the cosine function fitting method.</w:t>
      </w:r>
      <w:r>
        <w:rPr>
          <w:color w:val="000000"/>
          <w:sz w:val="24"/>
          <w:szCs w:val="24"/>
        </w:rPr>
        <w:br/>
        <w:t xml:space="preserve">I have studied two fibres with different lengths. In the case of the shorter fiber (~ 5.5 cm) approximately 1% of the total laser power was used to determine the dispersion curves. For the longer fibre (~ 8.5 cm) the dispersion curve was measured at similar laser power, and it was determined at the 0.3% of the total laser power as well. I showed that, unlike the dispersion data published by the manufacturer, the fiber has birefringent property. I determined the dispersion curve for both polarization planes of the fiber. Comparing the measured dispersion curves with the curves of the manufacturer I found that the dispersion curve of the shorter fibre is very similar to the manufacturer’s curve. For the longer fibre, however, the dispersion curves measured at smaller intensities were different from the manufacturer’s curve. When a higher laser power was applied the curves showed a better agreement. This may happen because the non-linear refractive index of the fiber is very high, therefore the shape of the dispersion curve depends on the peak intensity of the laser pulse as well.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112894">
    <w:multiLevelType w:val="hybridMultilevel"/>
    <w:lvl w:ilvl="0" w:tplc="421695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112894">
    <w:abstractNumId w:val="651128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43323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