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MARIANN LISKA</w:t>
            </w:r>
          </w:p>
          <w:p w:rsidR="00C275A3" w:rsidRDefault="00A96AEC" w:rsidP="00C275A3">
            <w:pPr>
              <w:pStyle w:val="Hallgatokepzes"/>
            </w:pPr>
            <w:r>
              <w:t>Geography</w:t>
            </w:r>
            <w:r>
              <w:br/>
            </w:r>
            <w:r w:rsidR="00E77B23">
              <w:t>MSc, 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Mucsi</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Large-scale mapping of urban land cover using hyperspectral images and laboratory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Cities represent the conflicts between nature and society. Investigation of settlements of big population and intensive environment use is a task of urban ecology. Remote sensing is a key role for mapping land cover and helpful for the analysis of temporal and spatial changes. The high spectral (hyperspectral images) and spatial (aerial images) resolution could be useful to make large scale built-up maps. The main goal of this study was to identify the connection between hyperspectral and laboratory data and the classification of hypercpectral image. Two city blocks from a low density built-up zone in Szeged were selected for study area.</w:t>
      </w:r>
      <w:r>
        <w:rPr>
          <w:color w:val="000000"/>
          <w:sz w:val="24"/>
          <w:szCs w:val="24"/>
        </w:rPr>
        <w:br/>
        <w:t xml:space="preserve">Hyperspectral images provide detailed information about land cover. Data quantity is very high, hundreds of bands are need to be handled and reference data is hard to prepare. In this research the reference data was provided by laboratory measurements. The spectral library made by laboratory equipment was useful to distinguish between land cover categories, so the built-up and vegetated areas were separated. 67 bands were chosen for the classification based on the high correlation of laboratory and image spectra. The training samples were selected by spectral angle mapper method. This method utilizes the spectral similarity of reference and image spectra. Maximum likelihood classification was used to create the land cover map. The overall accuracy was higher than 90%.</w:t>
      </w:r>
      <w:r>
        <w:rPr>
          <w:color w:val="000000"/>
          <w:sz w:val="24"/>
          <w:szCs w:val="24"/>
        </w:rPr>
        <w:br/>
        <w:t xml:space="preserve">The proportion of built-up areas in the test site was computed and the resulting proportion was compared to the rules of the city’s building regulation. Proportion of the vegetated area is proper in the building zones, but big differences were identified in parcel level. Consequently, the significantly built-up parcels could be selected by the map, where the environmental effects are need to be examined.</w:t>
      </w:r>
      <w:r>
        <w:rPr>
          <w:color w:val="000000"/>
          <w:sz w:val="24"/>
          <w:szCs w:val="24"/>
        </w:rPr>
        <w:br/>
        <w:t xml:space="preserve">The research can be extended to other cities and city parts. In future research activity, more classes can be separated with additional spectras in the spectral library.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22171">
    <w:multiLevelType w:val="hybridMultilevel"/>
    <w:lvl w:ilvl="0" w:tplc="747795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22171">
    <w:abstractNumId w:val="33422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8739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