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MÁRTON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Kanyarulatfejlődés összehasonlító vizsgálata a Dráván és a Hernádon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Dráva és a Hernád hidromorfológiai viszonyai az elmúlt évtizedekben az antropogén tevékenységek (szabályozások, erőművek és a hozzájuk tartozó duzzasztók) hatására nagymértékben megváltoztak. Ezek az emberi beavatkozások jelentősen módosították a folyók hidrológiai jellemzőit, kanyarulati paramétereit, illetve az akkumulációs és eróziós folyamatokat. Kutatásom célja a két folyó kavicsos fenékhordalékú szakaszának egy-egy kanyarulatán az indirekt antropogén hatások által befolyásolt kanyarulatfejlődés nyomon követése és összehasonlítása.</w:t>
      </w:r>
      <w:r>
        <w:rPr>
          <w:color w:val="000000"/>
          <w:sz w:val="24"/>
          <w:szCs w:val="24"/>
        </w:rPr>
        <w:br/>
        <w:t xml:space="preserve">A vizsgált kanyarulat a Dráván Sigetec mellett (220-222 fkm), míg a Hernádon Hernádcécénél (72-74 fkm) található. A vizsgálathoz összehasonlítottam a két folyó hidrológiai paramétereit. A kanyarulatok fejlődésének vizsgálatához katonai felméréseket, vízügyi és kartográfiai térképeket, légifotókat és ortofotókat használtam. A parterózió vizsgálatát RTK-s GPS méréssel végeztük, míg a Dráván a belső ív épülését dendrológiai módszerekkel elemeztük. A kavicsanyag szemcseösszetételének meghatározását Digital Gravelometer segítségével végeztem.</w:t>
      </w:r>
      <w:r>
        <w:rPr>
          <w:color w:val="000000"/>
          <w:sz w:val="24"/>
          <w:szCs w:val="24"/>
        </w:rPr>
        <w:br/>
        <w:t xml:space="preserve">Eredményeim szerint a két folyó hidrológiai jellemzői részben hasonlóak. Mindkét folyóra jellemző az éves kis- és középvizek szintjének csökkenése, azonban ez a Hernádon csupán 66 cm, míg a Dráván 182 cm 1901 óta. A nagyvizek azonban eltérően alakultak, mivel a Dráván az erőművek üzembe lépésével mérséklődött az éves legnagyobb vízállás szintje, így jelenleg már ritkává és röviddé váltak az árvizek. Ezzel szemben a Hernádon az utóbbi tíz évben háromszor is megdőlt az LNV (2004, 2006, 2010). A vízhozamok esetében is jelentős különbségek vannak, hiszen míg a Dráván jelentősen lecsökkentek az éves kis-, közép-, és nagyvízhozamok, addig a Hernádon folyamatos a kis- és közepes vízhozamok növekedése.</w:t>
      </w:r>
      <w:r>
        <w:rPr>
          <w:color w:val="000000"/>
          <w:sz w:val="24"/>
          <w:szCs w:val="24"/>
        </w:rPr>
        <w:br/>
        <w:t xml:space="preserve">Az erőművek módosítják a bevágódás és a parterózió mértékét is, ugyanis a legkisebb mederszélesség a Dráván 536 m-ről 80 m-re, míg a Hernádon 55 m-ről 25 m-re csökkent. A parterózió éves sebességében mindkét folyón egy folyamatosnak mondható növekedés zajlik.</w:t>
      </w:r>
      <w:r>
        <w:rPr>
          <w:color w:val="000000"/>
          <w:sz w:val="24"/>
          <w:szCs w:val="24"/>
        </w:rPr>
        <w:br/>
        <w:t xml:space="preserve">Erdő csak a drávai mintaterületen borítja az övzátonysorokat, így a partépülés üteme és módja csak itt vizsgálható dendrológiai módszerrel. A Dráván a legidősebb felszín 1989-ben stabilizálódott, majd ehhez forrtak hozzá a fiatalabb övzátonyok. Tehát az övzátonyok gyors fejlődése a Donja Dubravai Erőmű üzembe lépéséhez köthető vízszintsüllyedéshez kapcsolódik.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60753">
    <w:multiLevelType w:val="hybridMultilevel"/>
    <w:lvl w:ilvl="0" w:tplc="78354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60753">
    <w:abstractNumId w:val="59160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919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