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ZOLTÁN HAJDU</w:t>
            </w:r>
          </w:p>
          <w:p w:rsidR="00C275A3" w:rsidRDefault="00A96AEC" w:rsidP="00C275A3">
            <w:pPr>
              <w:pStyle w:val="Hallgatokepzes"/>
            </w:pPr>
            <w:r>
              <w:t>Geography</w:t>
            </w:r>
            <w:r>
              <w:br/>
            </w:r>
            <w:r w:rsidR="00E77B23">
              <w:t>MSc, 7.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Tímea Kiss</w:t>
            </w:r>
          </w:p>
          <w:p w:rsidR="00DB4822" w:rsidRDefault="00DB4822" w:rsidP="009763E0">
            <w:pPr>
              <w:pStyle w:val="Konzulensektitulus"/>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Different types of regulations specific analysis of fluvial response in the Upper-Tisza Ukrainian-Hungarian section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regulation of the river Tisza carried out in the 19th and 20th centuries. This affected the full length of the river in another way in every country, because of the different river engineering works and conditions of the various parts of the river. The biggest difference can be observed where the river forms the boundary between Ukraine and Hungary (Felső-Tisza), because the morphology of the bed and the engineering are dissimilar in the two countries. The aim of study is to analyse the change of the river morphology and hydrological conditions on the two parts of the river.</w:t>
      </w:r>
    </w:p>
    <w:p>
      <w:pPr>
        <w:widowControl w:val="on"/>
        <w:pBdr/>
        <w:spacing w:before="240" w:after="240" w:line="240" w:lineRule="auto"/>
        <w:ind w:left="0" w:right="0"/>
        <w:jc w:val="left"/>
      </w:pPr>
      <w:r>
        <w:rPr>
          <w:color w:val="000000"/>
          <w:sz w:val="24"/>
          <w:szCs w:val="24"/>
        </w:rPr>
        <w:t xml:space="preserve">The investigated parts of the river are taken place between two towns, Tiszavasvár and Tiszakóród (34 km). The river channel pattern of the Ukrainian part (16 km) is braided and the part by the boundary (18 km) is meandering. Maps of hydrographic surveying (1842, 1890, 1927, 1976), satellite images (2006 és 2012) and RTK-GPS technique were used to analyse the sample area.</w:t>
      </w:r>
    </w:p>
    <w:p>
      <w:pPr>
        <w:widowControl w:val="on"/>
        <w:pBdr/>
        <w:spacing w:before="240" w:after="240" w:line="240" w:lineRule="auto"/>
        <w:ind w:left="0" w:right="0"/>
        <w:jc w:val="left"/>
      </w:pPr>
      <w:r>
        <w:rPr>
          <w:color w:val="000000"/>
          <w:sz w:val="24"/>
          <w:szCs w:val="24"/>
        </w:rPr>
        <w:t xml:space="preserve">The riverbed of the wandering channel has widened (+5%), but the erosion was 6 % more intensive on the right bank. The evidence is the eroded outside of river bends by Bökény on the left side (13 m/year) and by Tiszavasvár on the right side (26 m/year). The area of the islands has not changed but the number of them dropped to 17 from 23. The area of the bars is 9% smaller and the 59% of them have become the part of the islands or the bank, while the 41% of them have gone underwater.</w:t>
      </w:r>
    </w:p>
    <w:p>
      <w:pPr>
        <w:widowControl w:val="on"/>
        <w:pBdr/>
        <w:spacing w:before="240" w:after="240" w:line="240" w:lineRule="auto"/>
        <w:ind w:left="0" w:right="0"/>
        <w:jc w:val="left"/>
      </w:pPr>
      <w:r>
        <w:rPr>
          <w:color w:val="000000"/>
          <w:sz w:val="24"/>
          <w:szCs w:val="24"/>
        </w:rPr>
        <w:t xml:space="preserve">Because of the river regulations the meandering channel’s bed gradient became steeper therefore the river bends became longer, changed their place and new bends arose. Thus the centreline of the river became 20% longer between 1842 and 2012. The sinuosity of the meandering channel then increased from 1, 5 to 1,9. Because of the bank protection works in the middle of the 20th century the channel width decreased by 56%, because the point bar was accumulating .</w:t>
      </w:r>
    </w:p>
    <w:p>
      <w:pPr>
        <w:widowControl w:val="on"/>
        <w:pBdr/>
        <w:spacing w:before="240" w:after="240" w:line="240" w:lineRule="auto"/>
        <w:ind w:left="0" w:right="0"/>
        <w:jc w:val="left"/>
      </w:pPr>
      <w:r>
        <w:rPr>
          <w:color w:val="000000"/>
          <w:sz w:val="24"/>
          <w:szCs w:val="24"/>
        </w:rPr>
        <w:t xml:space="preserve">It can be seen that the development of the river morphology in Hungary is unfavorable. Low water-level periods are decreasing. Because of the erodibility of the bank, the level of flooding is increasing due to the channel narrowing. For now, the change of the river morphology in Ukraine is not increasing the risk of flooding but the observation of this part of the river is highly recommended. Due to the intensive erosion more bank protection works are expected and that can upset the actual, protected balance of the river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93381">
    <w:multiLevelType w:val="hybridMultilevel"/>
    <w:lvl w:ilvl="0" w:tplc="84198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93381">
    <w:abstractNumId w:val="612933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3071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