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HORVÁTH</w:t>
            </w:r>
          </w:p>
          <w:p w:rsidR="00C275A3" w:rsidRDefault="00A96AEC" w:rsidP="00C275A3">
            <w:pPr>
              <w:pStyle w:val="Hallgatokepzes"/>
            </w:pPr>
            <w:r>
              <w:t>Geographer</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Dr.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changing of the channel dynamics of the Lower-Tisza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the river system of the Tisza, floods occur to be on rise. The increasing floods are caused by landscape changes of the catchment, climate change, accumulations on the floodplain, increasing roughness, and changes in the horizontal and vertical parameters of the channel. The examination of the channel parameters reveal a narrowing trend, where the erosion of the outer arch can be blocked by revetments, but on the inner arch the bar accumulation continues. However, in the overnarrowed channel, the revetment parts started to erode, but slow widening of the channel. My aim was to examine the morfological answer of the Tisza to revetment building. I examined the extent of the bank erosion and the accumulation in the Lower Tisza. Based on the areal classification of the riverbanks, I analysed the spatial changes in the channel dynamics which along most of the Lower Tisza (from Csongrád to Szeged). I also examined the destruction of a section with revetments, which is close to Csanytelek. Here, my aim was to analyse the rhythm of the natural widening and the process of revetment destruction with hydrographical measurements (1842-1976), satellite mapping (2011) and my own RTK-GPS and sonar soundings measurement (2014).</w:t>
      </w:r>
      <w:r>
        <w:rPr>
          <w:color w:val="000000"/>
          <w:sz w:val="24"/>
          <w:szCs w:val="24"/>
        </w:rPr>
        <w:br/>
        <w:t xml:space="preserve">     In the Lower Tisza, 47 point-bars were mapped in 1890, but nowadays there is only 20 left, and the overall length decreased from 52,3 km to 4,7 km (-91%). Termination of the channel equilibrium is indicated not only by the elimination of the bars, and in these days the Lower-Tisza’s bank is eroded by river bank failure (5%), landslides (35%), together slumps and landslides (5-5%), and low erosion processes (further 51%). As the results of these processes 23,3% of the revetments have already slipped into the channel, and 82% of a further revetment has also been destroyed.</w:t>
      </w:r>
      <w:r>
        <w:rPr>
          <w:color w:val="000000"/>
          <w:sz w:val="24"/>
          <w:szCs w:val="24"/>
        </w:rPr>
        <w:br/>
        <w:t xml:space="preserve">     Investigating near Csanytelek, I experienced that after the slip of the revetment, the riverbank constantly retreats towards the levee through landslumps, and now the riverbank is only 33 m away from the levee. The revetment seems intact on the hydrographical map (1976), but since that time the riverbank destruction was 1,5 m/year in average. The sonar measurement shows that the channel deepened dynamically in front of the former revetment (21 m far from the revetment), which resulted in a suitable relief for slumps. Reconsidering the treatment of the revetments and the protection of the levees are important tasks in the future in order to maintain flood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40238">
    <w:multiLevelType w:val="hybridMultilevel"/>
    <w:lvl w:ilvl="0" w:tplc="6094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40238">
    <w:abstractNumId w:val="41640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009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