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TÓTH</w:t>
            </w:r>
          </w:p>
          <w:p w:rsidR="00C275A3" w:rsidRDefault="00A96AEC" w:rsidP="00C275A3">
            <w:pPr>
              <w:pStyle w:val="Hallgatokepzes"/>
            </w:pPr>
            <w:r>
              <w:t>Geography</w:t>
            </w:r>
            <w:r>
              <w:br/>
            </w:r>
            <w:r w:rsidR="00E77B23">
              <w:t>MSc,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Nagy</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evaluation of main square rehabilitation in Békéscsaba by conventional on-line and modern social media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Urban and regional development has decades of history in Europe what is controlled by European community level principal and target systems which is also valid in Hungary since joining to the European Union. One of the most important element of urban developement is the city and center area rehabilitation. These strategic investions help the settlemen to renew and reshape not only in physical in economic, social and environmental context. The use of the urban developmental tools are binding and regulated by the European Union in strategic documents to achieve territorial cohesion. In the last decade one of the most commonly used form for rehabilitation is the public space development which deserves an emphasized attention because of the quick run down and function changing of public spaces.</w:t>
      </w:r>
      <w:r>
        <w:rPr>
          <w:color w:val="000000"/>
          <w:sz w:val="24"/>
          <w:szCs w:val="24"/>
        </w:rPr>
        <w:br/>
        <w:t xml:space="preserve">The study aims to Békéscsaba County Integrated Urban Development Strategy’s function expanding city center rehabilitation project which also joint with public space rehabilitation of the main square. I evaluate the area action plan by the theoretical background and the territorial developement principles to ascertain its success. Using qualitative methods the paper examines how the investment appears in the local media and what is the oppinion of the people about the project, weather they judge it succesfull or not.</w:t>
      </w:r>
      <w:r>
        <w:rPr>
          <w:color w:val="000000"/>
          <w:sz w:val="24"/>
          <w:szCs w:val="24"/>
        </w:rPr>
        <w:br/>
        <w:t xml:space="preserve">The local government investments by the EU are happening in public. This type of publicity gives the opportunity to the people to deliverance. The paper analyzes the county’s leading online site, the Békés Onlines relevant articles and the related commentaries. The renewed public squares are important scenes of the social life which does not appear only in the real space but also in the virtual space. Because of this I analyzed the main square by the appearance of it in the social media. Instagram posts were used and evaluated which is a prefered medium within people who are living an on-line social life by the method of content analysis. The actual use of the square was described using the above mentioned data, assuming that a modern and liveable main square is making an appearance often with different contents ont he social media.</w:t>
      </w:r>
      <w:r>
        <w:rPr>
          <w:color w:val="000000"/>
          <w:sz w:val="24"/>
          <w:szCs w:val="24"/>
        </w:rPr>
        <w:br/>
        <w:t xml:space="preserve">The research confirmed that the development had positive effects on Békéscsaba in more aspects. But due to the not thorough strategic development plan and the often outdated city rehabilitation planning background, as far as possible it was not a satisfying rehabilitation.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64015">
    <w:multiLevelType w:val="hybridMultilevel"/>
    <w:lvl w:ilvl="0" w:tplc="55722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64015">
    <w:abstractNumId w:val="51464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498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