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BERTUS</w:t>
            </w:r>
          </w:p>
          <w:p w:rsidR="00C275A3" w:rsidRDefault="00A96AEC" w:rsidP="00C275A3">
            <w:pPr>
              <w:pStyle w:val="Hallgatokepzes"/>
            </w:pPr>
            <w:r>
              <w:t>Geography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Kovács</w:t>
            </w:r>
          </w:p>
          <w:p w:rsidR="00DB4822" w:rsidRDefault="00DB4822" w:rsidP="00E11062">
            <w:pPr>
              <w:pStyle w:val="Konzulensek"/>
            </w:pPr>
            <w:r w:rsidRPr="00DB4822">
              <w:t>head of department,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South Transdanubia political fault lines in the light of the parliamentary elections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would like to introduce the special political characteristics of South Transdanubia by the comparison of the electoral geography of Hungary and South Transdanubia. A significant rearrangement took place in the parties of the Hungarian Parliament in the 2010 parliamentary elections. Several parties were disappeared among those had existed since 1990 and their place were occupied by new parties. After the decompositiom of the bipolar party system (which was characteristic even in 2006) , a third force (called JOBBIK) appeared in 2010, which resulted in large rearrangements in the political maps.</w:t>
      </w:r>
      <w:r>
        <w:rPr>
          <w:color w:val="000000"/>
          <w:sz w:val="24"/>
          <w:szCs w:val="24"/>
        </w:rPr>
        <w:br/>
        <w:t xml:space="preserve">The aim of this work is to introduce the electoral geographic characterics and to determine the main structures of the electoral system in the chosen region (South Dransdanubia) by adapting the experiences and methods were applied before. The main trends were ascertained by the help of the 2006-2014 first-round results of the parliamentary elections, the political activity of the electorates and the regional differences in party preferences. The results were analyzed by heading from larger to smaller geographic units. The features of settlements with the population of 5000, 1000 to 5000, 500 to 999, 200 to 499 and below 200 people were compared. The political maps of the parties were elected to the Parliament were made at municipal level, so the base areas and changes of the parties over time could be determinated. The results shows that the decrease of the participation rates was the most significant before 2010 in setttlements supported the MSZP-SZDSZ government most of all. The parties called FIDESZ and JOBBIK has benefited the most from the rearrangement of the balance of political forces.</w:t>
      </w:r>
      <w:r>
        <w:rPr>
          <w:color w:val="000000"/>
          <w:sz w:val="24"/>
          <w:szCs w:val="24"/>
        </w:rPr>
        <w:br/>
        <w:t xml:space="preserve">The effects of the demographic progressions on the constituencies since 1990 and the role of the principle of equality during the formation of them in 2011 have also been discussed. In addition, the potential effects on the individual mandates caused by the new constituency were analyzed by model studies. This work investigates also the possibility of another splitting based on the oppositionist conception. This account was cerried out by the help of Microsoft Excel and Mapinfo programs, based on the 2011 data using of Central Statistical Office (KSH) and the website called valasztas.hu.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04547">
    <w:multiLevelType w:val="hybridMultilevel"/>
    <w:lvl w:ilvl="0" w:tplc="47760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04547">
    <w:abstractNumId w:val="32604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791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