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MERZA</w:t>
            </w:r>
          </w:p>
          <w:p w:rsidR="00C275A3" w:rsidRDefault="00A96AEC" w:rsidP="00C275A3">
            <w:pPr>
              <w:pStyle w:val="Hallgatokepzes"/>
            </w:pPr>
            <w:r>
              <w:t>Business Information Technology, BSc</w:t>
            </w:r>
            <w:r>
              <w:br/>
            </w:r>
            <w:r w:rsidR="00E77B23">
              <w:t>BSc,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London</w:t>
            </w:r>
          </w:p>
          <w:p w:rsidR="00DB4822" w:rsidRDefault="00DB4822" w:rsidP="00E11062">
            <w:pPr>
              <w:pStyle w:val="Konzulensek"/>
            </w:pPr>
            <w:r w:rsidRPr="00DB4822">
              <w:t>PhD student, SZTE TTIK</w:t>
            </w:r>
          </w:p>
        </w:tc>
      </w:tr>
      <w:tr w:rsidR="00DB4822" w:rsidTr="00DB4822">
        <w:tc>
          <w:tcPr>
            <w:tcW w:w="9854" w:type="dxa"/>
          </w:tcPr>
          <w:p w:rsidR="00DB4822" w:rsidRPr="00DB4822" w:rsidRDefault="00DB4822" w:rsidP="004D7940">
            <w:pPr>
              <w:pStyle w:val="Konzulensek"/>
            </w:pPr>
            <w:r w:rsidRPr="00DB4822">
              <w:t>Dr. Tamás Németh</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Member enlargements of the European Union and the world trade network: globalization, regionalization, and economic dependencies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European Union; globalization;regionalization; communities; Pareto Principle</w:t>
      </w:r>
      <w:r>
        <w:t xml:space="preserve"/>
      </w:r>
    </w:p>
    <w:p>
      <w:pPr>
        <w:widowControl w:val="on"/>
        <w:pBdr/>
        <w:spacing w:before="240" w:after="240" w:line="240" w:lineRule="auto"/>
        <w:ind w:left="0" w:right="0"/>
        <w:jc w:val="left"/>
      </w:pPr>
      <w:r>
        <w:rPr>
          <w:color w:val="000000"/>
          <w:sz w:val="24"/>
          <w:szCs w:val="24"/>
        </w:rPr>
        <w:t xml:space="preserve">The theory of complex networks has been proved to be very efficient to model and characterize many complex systems that appear in a wide range of areas from biology through computer science to economy and social sciences. In this work, I used complex network models to analyze the statistical and dynamical properties of a special complex economical system, namely the International Trade Network. I collected the import/export data that available in the UN Comtrade Database, and defined a network, where nodes represent countries, while a directed and weighted edge between two countries represents the trade relationship between them expressed in US Dollar. I investigated the temporal changes of the network, especially focusing to the years of member enlargement of the EU, paying special attention to the former member countries of the Council for Mutual Economic Assistance (Comecon).</w:t>
      </w:r>
      <w:r>
        <w:rPr>
          <w:color w:val="000000"/>
          <w:sz w:val="24"/>
          <w:szCs w:val="24"/>
        </w:rPr>
        <w:br/>
        <w:t xml:space="preserve">Previous studies often assume that globalization and regionalization in international trade are contradictory to each other. Recently Caldarelli et. al., by investigating the International Trade Network, found that the global changes of the trade network are closely related to changes in the regional level.</w:t>
      </w:r>
      <w:r>
        <w:rPr>
          <w:color w:val="000000"/>
          <w:sz w:val="24"/>
          <w:szCs w:val="24"/>
        </w:rPr>
        <w:br/>
        <w:t xml:space="preserve">Starting from the previous results, I studied the trading data of the EU countries and the economic superpowers from a network point of view, and I found that however the export, proportional to GDP, has been grown in each European countries by joining the EU, the former Comecon countries have not increased their exports to other EU countries, but increased to the direction of Russia and China. By applying different ranking algorithms (Out-degree, PageRank, HITS) to the network, I obtained that the Pareto-principle (or Zipf-law, or “80-20”-law) prevails, means that a significant percentage of the total export of the world is executed just by a few countries. Thereby, countries where the quantity of export is relatively small, but is high proportional to GDP, are in a strong economic dependence on the superpowers.</w:t>
      </w:r>
      <w:r>
        <w:rPr>
          <w:color w:val="000000"/>
          <w:sz w:val="24"/>
          <w:szCs w:val="24"/>
        </w:rPr>
        <w:br/>
        <w:t xml:space="preserve">I found, that the networks have a strong core-periphery structure. I applied the modularity optimization method to detect communities in the network changing in time and obtained, that the European countries in the periphery are contained in the clusters of Russia and China, contrarily, the Western-European countries are in that clusters where the central nodes are Germany and the USA, respectively, highlighting the real dependency relations.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334932">
    <w:multiLevelType w:val="hybridMultilevel"/>
    <w:lvl w:ilvl="0" w:tplc="258685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334932">
    <w:abstractNumId w:val="433349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21774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