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HELGA NAJZER</w:t>
            </w:r>
          </w:p>
          <w:p w:rsidR="00C275A3" w:rsidRDefault="00A96AEC" w:rsidP="00C275A3">
            <w:pPr>
              <w:pStyle w:val="Hallgatokepzes"/>
            </w:pPr>
            <w:r>
              <w:t>Software Information Technology</w:t>
            </w:r>
            <w:r>
              <w:br/>
            </w:r>
            <w:r w:rsidR="00E77B23">
              <w:t>MSc, 4.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Vinkó PhD</w:t>
            </w:r>
          </w:p>
          <w:p w:rsidR="00DB4822" w:rsidRDefault="00DB4822" w:rsidP="009763E0">
            <w:pPr>
              <w:pStyle w:val="Konzulensektitulus"/>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sustainability of BitTorrent-based credit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Private BitTorrent communities are content sharing systems using peer-to-peer technology, in which users are incentivised to stay online and provide uploading service after finishing the downloading of the files. This is not provided in the standard BitTorrent protocol. These incentive mechanisms, for example, are the sharing ratio enforcement (the ratio of the uploaded and downloaded amount of data must be greater then a certain limit) or the equivalent credit system. In this study we examine credit-based BitTorrent communities. In this kind of system a registered user can obtain a particular file of interest in exchange of some virtual credit. Credits can be collected via uploading.</w:t>
      </w:r>
      <w:r>
        <w:rPr>
          <w:color w:val="000000"/>
          <w:sz w:val="24"/>
          <w:szCs w:val="24"/>
        </w:rPr>
        <w:br/>
        <w:t xml:space="preserve">Recent papers have shown that, similarly to a general financial market, private BitTorrent communities could also face with credit crysis. It can be shown with simulations that basically there are three statuses: sustain, crash (in case there are no uploaders) or crunch (there are no downloaders due to lack of credit).</w:t>
      </w:r>
    </w:p>
    <w:p>
      <w:pPr>
        <w:widowControl w:val="on"/>
        <w:pBdr/>
        <w:spacing w:before="240" w:after="240" w:line="240" w:lineRule="auto"/>
        <w:ind w:left="0" w:right="0"/>
        <w:jc w:val="left"/>
      </w:pPr>
      <w:r>
        <w:rPr>
          <w:color w:val="000000"/>
          <w:sz w:val="24"/>
          <w:szCs w:val="24"/>
        </w:rPr>
        <w:t xml:space="preserve">Our goal here is to revisit the problem of sustainability of BitTorrent based credit systems in order to derive further conditions by means of extensive simulations. Our investigations show that these systems are particularly sensitive to the total amount of credit and the average file size.</w:t>
      </w:r>
      <w:r>
        <w:rPr>
          <w:color w:val="000000"/>
          <w:sz w:val="24"/>
          <w:szCs w:val="24"/>
        </w:rPr>
        <w:br/>
        <w:t xml:space="preserve">In the first part we study initial conditions regarding the credit amount and credit distribution among the rich peers (i.e. those who have enough credit to start downloading a file).</w:t>
      </w:r>
      <w:r>
        <w:rPr>
          <w:color w:val="000000"/>
          <w:sz w:val="24"/>
          <w:szCs w:val="24"/>
        </w:rPr>
        <w:br/>
        <w:t xml:space="preserve">We also show that certain ratios of rich peers could lead to unstable system in case of fix credit amount and varying file sizes.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33122">
    <w:multiLevelType w:val="hybridMultilevel"/>
    <w:lvl w:ilvl="0" w:tplc="59758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33122">
    <w:abstractNumId w:val="60733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112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