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SCHÄFFER ANETT</w:t>
            </w:r>
          </w:p>
          <w:p w:rsidR="00C275A3" w:rsidRDefault="00A96AEC" w:rsidP="00C275A3">
            <w:pPr>
              <w:pStyle w:val="Hallgatokepzes"/>
            </w:pPr>
            <w:r>
              <w:t>Angoltanár, magyartanár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Somogyi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lehetőségek korlátozottsága: Muriel Spark The Prime of Miss Jean Brodie c. regénye és Mike Newell Mona Lisa mosolya c. filmjének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Muriel Spark 1961-ben megjelent The Prime of Miss Jean Brodie c. regénye, mely nagyrészt az 1930-as és 40-es évek Skóciájában játszódik egy magániskolában, nagyon sok hasonlóságot mutat a 2003-as Mike Newell által rendezett Mona Lisa mosolya c. filmmel, mely az 1950-es évek Amerikájának felső-középosztálybeli világát mutatja be a Wellesley Főiskolára fókuszálva. Úgy vélem, érdemes tüzetesen megvizsgálni e két mű viszonyát, hiszen az időbeli és helyszínbeli, illetve műfajbeli eltérések ellenére a két mű fő témái nagyon hasonlóak.</w:t>
      </w:r>
      <w:r>
        <w:rPr>
          <w:color w:val="000000"/>
          <w:sz w:val="24"/>
          <w:szCs w:val="24"/>
        </w:rPr>
        <w:br/>
        <w:t xml:space="preserve">Ezek a témák véleményem szerint: a politika (megjelenése az oktatásban), a háború hatásai, a szerelem és a szexualitás, a művészet, a lojalitás és az árulás, a tanár és az iskola közötti konfliktus, a tanár-diák kapcsolat jelentősége és mindezeket átfonja a szabad választás lehetőségének kérdései. Úgy tűnik számomra, hogy a regény és a film ugyanazt a kérdéskört járja körül: Mennyire korlátozottak a lehetőségeink? Van esélyünk kitörni a kultúra, a család, az iskola, a tanáraink és saját magunk által előre meghatározott útról?</w:t>
      </w:r>
      <w:r>
        <w:rPr>
          <w:color w:val="000000"/>
          <w:sz w:val="24"/>
          <w:szCs w:val="24"/>
        </w:rPr>
        <w:br/>
        <w:t xml:space="preserve">Dolgozatom első részében a film és a regény címét, narrációs technikáját, felépítését vizsgálom, majd áttérek a művek fontosabb tanár- és diákszereplőinek elemzésére és összehasonlítására, ehhez kapcsolódóan szólok a tanár-diák kapcsolat jelentőségéről és a tanár és az iskola közötti konfliktusról, míg a továbbiakban a már említett témák megjelenését vizsgálom a két műben.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84749">
    <w:multiLevelType w:val="hybridMultilevel"/>
    <w:lvl w:ilvl="0" w:tplc="24404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84749">
    <w:abstractNumId w:val="27584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379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