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SCHÄFFER</w:t>
            </w:r>
          </w:p>
          <w:p w:rsidR="00C275A3" w:rsidRDefault="00A96AEC" w:rsidP="00C275A3">
            <w:pPr>
              <w:pStyle w:val="Hallgatokepzes"/>
            </w:pPr>
            <w:r>
              <w:t>Teacher of English language, Teacher of Hungarian Literature and Grammar</w:t>
            </w:r>
            <w:r>
              <w:br/>
            </w:r>
            <w:r w:rsidR="00E77B23">
              <w:t>MA, 3.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Gyula Somogyi, PhD</w:t>
            </w:r>
          </w:p>
          <w:p w:rsidR="00DB4822" w:rsidRDefault="00DB4822" w:rsidP="009763E0">
            <w:pPr>
              <w:pStyle w:val="Konzulensektitulus"/>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Limited Possibilities: The Comparison of Muriel Spark’s The Prime of Miss Jean Brodie and Mike Newell’s Mona Lisa Smile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Muriel Spark’s The Prime of Miss Jean Brodie – which was published in 1961 and takes place in a private school in Scotland in the 1930s and 40s – and Mike Newell’s Mona Lisa Smile – which was released in 2003 and introduces the world of the American upper-middle class focusing on Wellesley College – show plenty of similarities. I think the connections between the two works are worth a closer analysis, because in spite of the differences in time and media, the themes of the two works are very similar.</w:t>
      </w:r>
      <w:r>
        <w:rPr>
          <w:color w:val="000000"/>
          <w:sz w:val="24"/>
          <w:szCs w:val="24"/>
        </w:rPr>
        <w:br/>
        <w:t xml:space="preserve">In my view, these themes are politics, the effects of the war (and how these effects appear in education), love and sexuality, the conflict between the teacher and the school, the teacher-student relationship, and all these themes are connected together by the questions of free choice. It seems to me that both the movie and the novel deals with the following questions: How much are our possibilities limited? Do we have the chance to alter our life paths, which are defined in advance by our cultures, our families, our schools, our teachers and us?</w:t>
      </w:r>
      <w:r>
        <w:rPr>
          <w:color w:val="000000"/>
          <w:sz w:val="24"/>
          <w:szCs w:val="24"/>
        </w:rPr>
        <w:br/>
        <w:t xml:space="preserve">In the first part of my essay, I analyse the title, the narrative technique and the structure of the novel and the movie, after that I compare the most important teacher and student figures, and I write about the importance of the relationship between the teachers and the students, as well as the conflict between the teacher and the school, then I deal with how the additional themes, which I have mentioned above, appear in the two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89111">
    <w:multiLevelType w:val="hybridMultilevel"/>
    <w:lvl w:ilvl="0" w:tplc="76476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89111">
    <w:abstractNumId w:val="56489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162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