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VIVIEN</w:t>
            </w:r>
          </w:p>
          <w:p w:rsidR="00C275A3" w:rsidRDefault="00A96AEC" w:rsidP="00C275A3">
            <w:pPr>
              <w:pStyle w:val="Hallgatokepzes"/>
            </w:pPr>
            <w:r>
              <w:t>Tanár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Ugrai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Holokauszt történetének feldolgozása a magyar és a német tankönyvekben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világháború eseményei a mai napig nyomot hagytak az emberekben. Még ma is vannak túlélők, akik saját szavaikkal mondhatják el a történetet. A háború borzalmaihoz csatlakozik a Holokauszt is, amelyet általában a második világháborúval együtt tárgyalnak a közoktatásban.</w:t>
      </w:r>
      <w:r>
        <w:rPr>
          <w:color w:val="000000"/>
          <w:sz w:val="24"/>
          <w:szCs w:val="24"/>
        </w:rPr>
        <w:br/>
        <w:t xml:space="preserve">Az említett témák feldolgozása a német és a magyar történelem tankönyvekben eltérő lehet. Kiemelt jelentőségű, hogy a közoktatásban miként adják elő az eseményeket, összefüggéseket, hogyan vannak megfogalmazva, ugyanis a tankönyvek által leírtak hatással vannak a tanulók gondolkodásmódjára, így ez erősen befolyásolhatja a tanulók által alkotott képet a tárgyalt témáról, jelen esetben a Holokausztról.</w:t>
      </w:r>
      <w:r>
        <w:rPr>
          <w:color w:val="000000"/>
          <w:sz w:val="24"/>
          <w:szCs w:val="24"/>
        </w:rPr>
        <w:br/>
        <w:t xml:space="preserve">A tankönyveknél külön figyelmet kell szentelni arra, hogy segítséget nyújthassanak a társadalom számára a múlton való túljutáshoz. Ezen kívül mind a magyar, mind a német könyvekben fontos a történtek oly mértékű hangsúlyozása, hogy ez által megpróbáljuk elérni, hogy azok ne ismétlődhessenek meg.</w:t>
      </w:r>
      <w:r>
        <w:rPr>
          <w:color w:val="000000"/>
          <w:sz w:val="24"/>
          <w:szCs w:val="24"/>
        </w:rPr>
        <w:br/>
        <w:t xml:space="preserve">Az adott tankönyvek különböző perspektívából mutathatják be a történéseket, más és más stílusban fogalmaznak. A Holokauszt feldolgozása több nézőpontból is megközelíthető, mint például az áldozatok vagy a német lakosság szemszögéből. Ezen kívül a képi világ is eltérő lehet, amelyre szintén nagy gondot kell fordítani, hiszen a vizuális megjelenítés módja komoly hatással lehet a tanulókra.</w:t>
      </w:r>
      <w:r>
        <w:rPr>
          <w:color w:val="000000"/>
          <w:sz w:val="24"/>
          <w:szCs w:val="24"/>
        </w:rPr>
        <w:br/>
        <w:t xml:space="preserve">Elemzésem célja feltárni a lehetséges eltéréseket a magyar és német történelem tankönyvekben az említett témák feldolgozásában, tárgyalásában. E mellett vizsgálatom célja az is, hogy felfedjem, eltér-e és ha igen, milyen mértékben tér el a magyar és német történelem tankönyvek felépítése, nyelvezete, stílusa. Ehhez azonban szükség van a magyar és német tankönyvi szabályozások, elvek bizonyos mértékű összehasonlítására és megismerésére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78417">
    <w:multiLevelType w:val="hybridMultilevel"/>
    <w:lvl w:ilvl="0" w:tplc="85171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78417">
    <w:abstractNumId w:val="34078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355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