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JURKÓ</w:t>
            </w:r>
          </w:p>
          <w:p w:rsidR="00C275A3" w:rsidRDefault="00A96AEC" w:rsidP="00C275A3">
            <w:pPr>
              <w:pStyle w:val="Hallgatokepzes"/>
            </w:pPr>
            <w:r>
              <w:t>Social work</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Gyukits</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community building power of the psychedelic effects concerning the goa subculture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 Subculture in Hungary is known only to a few term, and has had many years Hungary is home to the one of the largest festivals of Goa.</w:t>
      </w:r>
    </w:p>
    <w:p>
      <w:pPr>
        <w:widowControl w:val="on"/>
        <w:pBdr/>
        <w:spacing w:before="240" w:after="240" w:line="240" w:lineRule="auto"/>
        <w:ind w:left="0" w:right="0"/>
        <w:jc w:val="left"/>
      </w:pPr>
      <w:r>
        <w:rPr>
          <w:color w:val="000000"/>
          <w:sz w:val="24"/>
          <w:szCs w:val="24"/>
        </w:rPr>
        <w:t xml:space="preserve">Originally there is a style of music and the social groups.The individualism of mystical states of consciousness are and cognition of the dealing. The movement of specificity that are not established bureaucratic structures, because of their rebellion against of these institutions has shaped them into the community. Reach a higher consciousness experiencing the spiritual experiencesof different psychedelic drugs consumption can be induced. The community lies in building the community experience.</w:t>
      </w:r>
    </w:p>
    <w:p>
      <w:pPr>
        <w:widowControl w:val="on"/>
        <w:pBdr/>
        <w:spacing w:before="240" w:after="240" w:line="240" w:lineRule="auto"/>
        <w:ind w:left="0" w:right="0"/>
        <w:jc w:val="left"/>
      </w:pPr>
      <w:r>
        <w:rPr>
          <w:color w:val="000000"/>
          <w:sz w:val="24"/>
          <w:szCs w:val="24"/>
        </w:rPr>
        <w:t xml:space="preserve">The community is the gateway or the freedom of individuals to seek to live in it for acceptance, love and community experiences. Geographical roots of its formation conspicuously. Emphasises the underlying oriental symbol system.</w:t>
      </w:r>
      <w:r>
        <w:rPr>
          <w:color w:val="000000"/>
          <w:sz w:val="24"/>
          <w:szCs w:val="24"/>
        </w:rPr>
        <w:br/>
        <w:t xml:space="preserve">In my dissertation I intend to present the Goa subculture. Using the literature and interviews made by me, I want to present the subculture roots music goa formation, built around the coastal culture, and last but not least, its associated drug use. I deal with the hungarian with tangential aspects of the as well. The man purpose My investigation mapping community building effects of the Goa parties own experiance or semi-stuctured interviews along. Important issues still ti be their pulses at they know how to integrate everyday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4276">
    <w:multiLevelType w:val="hybridMultilevel"/>
    <w:lvl w:ilvl="0" w:tplc="16825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14276">
    <w:abstractNumId w:val="69314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863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