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BERKI</w:t>
            </w:r>
          </w:p>
          <w:p w:rsidR="00C275A3" w:rsidRDefault="00A96AEC" w:rsidP="00C275A3">
            <w:pPr>
              <w:pStyle w:val="Hallgatokepzes"/>
            </w:pPr>
            <w:r>
              <w:t>Psychology</w:t>
            </w:r>
            <w:r>
              <w:br/>
            </w:r>
            <w:r w:rsidR="00E77B23">
              <w:t>BA, 5.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Csifcsák</w:t>
            </w:r>
          </w:p>
          <w:p w:rsidR="00DB4822" w:rsidRDefault="00DB4822" w:rsidP="009763E0">
            <w:pPr>
              <w:pStyle w:val="Konzulensektitulus"/>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low and high spatial frequencies on visual categorization in case of different display times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Rapid visual categorization and the recognition of places and objects are parts of our everyday life: it is enough to glance at several things such as posters, pieces of equipment or people, and we automatically make category-based decisions. In the current study, we investigated whether low and the high spatial frequencies, namely, coarse or fine visual analysis influence the semantic categorization of natural images to the same degree at different display times or not. Our hypothesis was based on the theory that the analysis of low spatial frequencies is primarily beneficial at brief presentation times because it is associated with the magnocellular pathway, which was previously implicated in rapid visual categorization. During the experiment, the participants had decide if the shown pictures contained an animal or a vehicle (forced choice paradigm), by pressing the appropriate response button. By analyzing sensitivity index, accuracy and reaction time, we managed to show that participants recognize pictures with low spatial frequencies better than those with high frequencies at relatively short presentation times. In addition, category-specific effects were observed: in the cases of short display times, animals were recognized easier, while at long display times and especially, when high spatial frequencies were present, the recognition of vehicles was more accurate. The results of the research support the theory according to which, in rapid visual categorization low spatial frequencies that are conveyed by the magnocellular pathway have a more prominent role, and also prove the fact that this advantage is especially relevant in the cases of animal stimuli.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78825">
    <w:multiLevelType w:val="hybridMultilevel"/>
    <w:lvl w:ilvl="0" w:tplc="87060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78825">
    <w:abstractNumId w:val="212788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3090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