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MIHÁLKA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Mónika Urbánné Malomsoki</w:t>
            </w:r>
          </w:p>
          <w:p w:rsidR="00DB4822" w:rsidRDefault="00DB4822" w:rsidP="00E11062">
            <w:pPr>
              <w:pStyle w:val="Konzulensek"/>
            </w:pPr>
            <w:r w:rsidRPr="00DB4822">
              <w:t>technical assistant,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Pittlik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LIMITS AND OPPORTUNITIES OF DECLEARING NEW TOWNS IN PEST COUNTY.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Declearing new towns; regional development; settlement sytems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of my essay I look through the historical development of the Hungarian urban-system, with special focus on the period after 1990. The main aspects of my interpretation are the legal circumstances of town-declarations, the effects of declaration a settlement as a town, and the evaluation of the Hungarian urban-system according to the literature.</w:t>
      </w:r>
      <w:r>
        <w:rPr>
          <w:color w:val="000000"/>
          <w:sz w:val="24"/>
          <w:szCs w:val="24"/>
        </w:rPr>
        <w:br/>
        <w:t xml:space="preserve">In the second part I analyze the urban-system in Pest County, testing a special analysis-method (COCO-based similarity analysis). In the analysis I’d like focus on questions like where the limits and possibilities are in declaring new towns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16972">
    <w:multiLevelType w:val="hybridMultilevel"/>
    <w:lvl w:ilvl="0" w:tplc="9319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16972">
    <w:abstractNumId w:val="54316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867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