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RÁTKAY ANDRÁS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Orlovits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lehetséges üzemszabályozási modell adaptációja Hajdúnánás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vidéki életterének az egyik legmeghatározóbb ágazata a mezőgazdaság, melyen belül a tradicionálisan kialakult önellátástól a profitorientált családi gazdaságokon keresztül egészen a nagybirtokokig minden gazdálkodási forma képviselteti magát. Azonban fontos megjegyezni azt, hogy Magyarországon nincs nyugat-európai értelemben vett üzemszabályozás rendszer, és ez nagymértékben megnehezíti a mezőgazdasági vállalkozások helyzetét.</w:t>
      </w:r>
      <w:r>
        <w:rPr>
          <w:color w:val="000000"/>
          <w:sz w:val="24"/>
          <w:szCs w:val="24"/>
        </w:rPr>
        <w:br/>
        <w:t xml:space="preserve">A kutatás területe Hajdúnánás város, ahol a helyi gazdaságok területe, munkaerő-lekötése és profilja (főbb termesztett növények) alapján a saját kutatás keretében kidolgozásra kerül egyfajta üzemszabályozási modell. Ennek segítségével ágazatonként megállapítható egy minimális (életképességi) üzemméret, egy referencia-, valamint egy versenyképességi üzemméret, amelyek már egy fenntartható és fejleszthető gazdasági méretet jelentenek. Az új méretszabályozás mellett fontos, hogy egy gazdaság összes tárgyiasult erőforrása egy egységet alkosson, külön-külön csak úgy lehessen elidegeníteni az üzem egy területrészét, vagy termelési eszközét, hogy az a gazdaság fennmaradását ne veszélyeztesse.</w:t>
      </w:r>
      <w:r>
        <w:rPr>
          <w:color w:val="000000"/>
          <w:sz w:val="24"/>
          <w:szCs w:val="24"/>
        </w:rPr>
        <w:br/>
        <w:t xml:space="preserve">A kutatás a francia és az olasz üzemszabályozási modellek alapján készül. Ez a két modell jó alapot szolgáltathat magyarországi alkalmazásra. A francia területalapú, és az olasz munkaerő-lekötés alapú szabályozás párhuzamos használata egymás kiegészítői. A foglalkoztatottság mértéke fontos szempont, ennek figyelembevételével határozhatóak meg a méretek, így jó eséllyel mérsékelhető a vidéki tér munkanélküliségi rátája.</w:t>
      </w:r>
      <w:r>
        <w:rPr>
          <w:color w:val="000000"/>
          <w:sz w:val="24"/>
          <w:szCs w:val="24"/>
        </w:rPr>
        <w:br/>
        <w:t xml:space="preserve">A dolgozat célja tehát egy olyan szabályozási modell kidolgozása, ami települési szinten vizsgálva megkönnyíti a mezőgazdasági üzemek kialakítását és fennmaradását úgy, hogy a vidéki népesség foglalkoztatottsága a lehető legmagasabb szintű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64432">
    <w:multiLevelType w:val="hybridMultilevel"/>
    <w:lvl w:ilvl="0" w:tplc="26180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64432">
    <w:abstractNumId w:val="460644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478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