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BETTINA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Zéman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Állami Számvevőszék szerkezeti átalakulásának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alaptörvény; ÁSZ; ellenőrzés;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2011. április 25-ével elkészült Magyarország Alaptörvénye. Az új alkotmányos illetve a hozzá szorosan kapcsolódó, változó jogi és gazdasági környezet szükségessé tette az Állami Számvevőszék jogharmonizációját. Az első sarkalatos törvényként a 2011. évi LXVI. az Állami Számvevőszékről szóló törvény lépett életbe. A jogi és szervezeti átalakulás tekintetében új stratégia kialakítása vált szükségessé. Az Állami Számvevőszék stratégiájában küldetéseként határozta meg, hogy „szilárd szakmai alapokon álló, értékteremtő ellenőrzéseivel előremozdítsa a közpénzügyek átláthatóságát, rendezettségét, és hozzájáruljon a jó kormányzáshoz”.</w:t>
      </w:r>
      <w:r>
        <w:rPr>
          <w:color w:val="000000"/>
          <w:sz w:val="24"/>
          <w:szCs w:val="24"/>
        </w:rPr>
        <w:br/>
        <w:t xml:space="preserve">Az ÁSZ stratégia alappilléreire építkezve, a megújulás során olyan számvevőszék létrehozását tűzte ki célul a szervezet, amely képes alkalmazkodni a megváltozott környezet kihívásaihoz, és képes alkalmazni a legújabb ellenőrzési módszereket, amik biztosítják a közpénzügyek átláthatóságát.</w:t>
      </w:r>
      <w:r>
        <w:rPr>
          <w:color w:val="000000"/>
          <w:sz w:val="24"/>
          <w:szCs w:val="24"/>
        </w:rPr>
        <w:br/>
        <w:t xml:space="preserve">A törvény hatálybalépését követően az ÁSZ álláspontja szerint, megszűnt a következmények nélküli ellenőrzések időszaka. Ennek tükrében, a pályamunka célkitűzése, hogy megállapítsa, az Állami Számvevőszék szervezeti átalakulása milyen mértékben járult hozzá a közpénzügyek ellenőrzésének átláthatóságához, és mennyiben bánik célszerűen a rábízott közpénzzel.</w:t>
      </w:r>
      <w:r>
        <w:rPr>
          <w:color w:val="000000"/>
          <w:sz w:val="24"/>
          <w:szCs w:val="24"/>
        </w:rPr>
        <w:br/>
        <w:t xml:space="preserve">Az újraértelmezett szervezet, a témaválasztástól kezdődően az ellenőrzés folyamatán keresztül, a végső hasznosulással, és a szükséges intézkedésekkel bezáróan teljes mértékben megújult. Ezzel párhuzamosan az intézmény támogató osztályai átalakításra kerültek, továbbá a lineáristól eltérően egy egymásra épülő mátrix szerkezetű szervezet kialakításával az erőforrás tervezés is alapjaiban megváltozott.</w:t>
      </w:r>
      <w:r>
        <w:rPr>
          <w:color w:val="000000"/>
          <w:sz w:val="24"/>
          <w:szCs w:val="24"/>
        </w:rPr>
        <w:br/>
        <w:t xml:space="preserve">A pályamunka által megfogalmazott cél elérésének érdekében, összehasonlító elemzés keretein belül, azt vizsgálja, hogy mindezen változások milyen mértékű hatékonyságot értek el a szervezet működésének racionalizálása során. Ezek feltárása érdekében összehasonlításra kerülnek az ÁSZ működését szabályozó régi és új törvények, valamint az elavult és aktualizált intézményi környezetet meghatározó belső szabályzatok, elnöki utasítások.</w:t>
      </w:r>
      <w:r>
        <w:rPr>
          <w:color w:val="000000"/>
          <w:sz w:val="24"/>
          <w:szCs w:val="24"/>
        </w:rPr>
        <w:br/>
        <w:t xml:space="preserve">A végső következtetés azt helyezi középpontba, hogy a szervezeti megújulás milyen mértékben felel meg az ÁSZ stratégia célkitűzéseinek, és hogy valóban megszűnt-e a következmények nélküli ellenőrzések időszaka.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04779">
    <w:multiLevelType w:val="hybridMultilevel"/>
    <w:lvl w:ilvl="0" w:tplc="77328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04779">
    <w:abstractNumId w:val="38504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646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