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FEHER</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Zéman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structural change at the State Audit Office of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Fundamental Law; SAO; audit; strategy</w:t>
      </w:r>
      <w:r>
        <w:t xml:space="preserve"/>
      </w:r>
    </w:p>
    <w:p>
      <w:pPr>
        <w:widowControl w:val="on"/>
        <w:pBdr/>
        <w:spacing w:before="240" w:after="240" w:line="240" w:lineRule="auto"/>
        <w:ind w:left="0" w:right="0"/>
        <w:jc w:val="left"/>
      </w:pPr>
      <w:r>
        <w:rPr>
          <w:color w:val="000000"/>
          <w:sz w:val="24"/>
          <w:szCs w:val="24"/>
        </w:rPr>
        <w:t xml:space="preserve">The Fundamental Law of Hungary prepared on the 25th of April 2011. The new constitution and the closely assaciated transformations in the legal and economical environment required the legislative harmonization of the State Audit Office of Hungary (SAO). The firstly enured pivotal law was the Act LXVI. of 2011 on the SAO. New strategies became necessary regarding the upcoming changes in the legislative and organisational alterations. The mission of the SAO is to promote the transparent and sound management of public finances with its value creating audits performed on a solid professional basis, thus contributing to ‘good governance’.</w:t>
      </w:r>
      <w:r>
        <w:rPr>
          <w:color w:val="000000"/>
          <w:sz w:val="24"/>
          <w:szCs w:val="24"/>
        </w:rPr>
        <w:br/>
        <w:t xml:space="preserve">Among the newly set goals, based on the corner stones of the SAO, were an organisation that can accomodate to the challenges of the new environment and is able to use the most modern methods of audits, which can provide the transparency of publilc finance.</w:t>
      </w:r>
      <w:r>
        <w:rPr>
          <w:color w:val="000000"/>
          <w:sz w:val="24"/>
          <w:szCs w:val="24"/>
        </w:rPr>
        <w:br/>
        <w:t xml:space="preserve">After the act came into effect the era of consequence-less audits has passed, according to the standpoint of the SAO.The goal of this competition essay is to state up to what extent could the organisational transformations at the SAO contribute to the transparency of the audits of public finace, and to state how effectively does the organisation use the allocated public funds.</w:t>
      </w:r>
      <w:r>
        <w:rPr>
          <w:color w:val="000000"/>
          <w:sz w:val="24"/>
          <w:szCs w:val="24"/>
        </w:rPr>
        <w:br/>
        <w:t xml:space="preserve">The redefined organisation, from the selection of this topic, through the process of audit, up to and including the final benefits and the necessary actions, has been completely renewed. In parallel with these events the supporting divisions of the institution were transformed as well, additionally the planning was fundamentally renewed by the formation of the organisation’s matrix structure.</w:t>
      </w:r>
      <w:r>
        <w:rPr>
          <w:color w:val="000000"/>
          <w:sz w:val="24"/>
          <w:szCs w:val="24"/>
        </w:rPr>
        <w:br/>
        <w:t xml:space="preserve">To achieve the set goals of this competetion essay, comparative analysis investigates the efficiency of these changes during the rationalization of the organisation's function. In order to explore these, old and new laws controlling the operations of the SAO are compared, as well as obsolate and updated internal legislations regarding the institutional environment along with presidential instructions.</w:t>
      </w:r>
      <w:r>
        <w:rPr>
          <w:color w:val="000000"/>
          <w:sz w:val="24"/>
          <w:szCs w:val="24"/>
        </w:rPr>
        <w:br/>
        <w:t xml:space="preserve">The final conclusion focuses on the questions: To what extent does the organisational reformation satisfies the strategical objective of the SAO? Has the era of consequence-less audit truly passed?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93144">
    <w:multiLevelType w:val="hybridMultilevel"/>
    <w:lvl w:ilvl="0" w:tplc="54994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93144">
    <w:abstractNumId w:val="99893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173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