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BALATONI</w:t>
            </w:r>
          </w:p>
          <w:p w:rsidR="00C275A3" w:rsidRDefault="00A96AEC" w:rsidP="00C275A3">
            <w:pPr>
              <w:pStyle w:val="Hallgatokepzes"/>
            </w:pPr>
            <w:r>
              <w:t>History and Geography teacher</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Vukman PhD</w:t>
            </w:r>
          </w:p>
          <w:p w:rsidR="00DB4822" w:rsidRDefault="00DB4822" w:rsidP="009763E0">
            <w:pPr>
              <w:pStyle w:val="Konzulensektitulus"/>
            </w:pPr>
            <w:r w:rsidRPr="00DB4822">
              <w:t>research fellow,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Balkan Committee and the Reforms in Macedonia (1903-1908)</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examine the activity of a British pressure-group, the so-called Balkan Committee through the analysis of the Macedonian Reforms (1903-1908). Ottoman Macedonia, the powder-keg of the Balkans, was a multiethnic area where the neighboring Balkan states’ national ambitions overlapped each other. As events in the Balkans affected contemporary power politics, Great Britain followed developments in the region with eager eyes. The Balkan Committee’s main goal was to formulate British public opinion and to influence upon the foreign policy decision-making process in favor of its Balkan protégés.</w:t>
      </w:r>
      <w:r>
        <w:rPr>
          <w:color w:val="000000"/>
          <w:sz w:val="24"/>
          <w:szCs w:val="24"/>
        </w:rPr>
        <w:br/>
        <w:t xml:space="preserve">Firstly, I attempt to conclude British-Balkan interactions and the development of the Balkan image in 19th century Great Britain, which is crucial in understanding the Balkan Committee’s activity. After this brief introduction I analyzed the British view of the Macedonian Reforms in light of different – archival, press, memoir- and travel literature –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38211">
    <w:multiLevelType w:val="hybridMultilevel"/>
    <w:lvl w:ilvl="0" w:tplc="63837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38211">
    <w:abstractNumId w:val="28238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299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