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SEBŐK</w:t>
            </w:r>
          </w:p>
          <w:p w:rsidR="00C275A3" w:rsidRDefault="00A96AEC" w:rsidP="00C275A3">
            <w:pPr>
              <w:pStyle w:val="Hallgatokepzes"/>
            </w:pPr>
            <w:r>
              <w:t>history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Giczi</w:t>
            </w:r>
          </w:p>
          <w:p w:rsidR="00DB4822" w:rsidRDefault="00DB4822" w:rsidP="009763E0">
            <w:pPr>
              <w:pStyle w:val="Konzulensektitulus"/>
            </w:pPr>
            <w:r w:rsidRPr="00DB4822">
              <w:t> 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Bishop in the storm of changing times (Ravasz László's work between 1945-1948)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discuss László Ravasz Hungarian reformed bishop’s last three years in office. In these three years we can observe continuous transition from „Horthy system” to Communism.</w:t>
      </w:r>
    </w:p>
    <w:p>
      <w:pPr>
        <w:widowControl w:val="on"/>
        <w:pBdr/>
        <w:spacing w:before="240" w:after="240" w:line="240" w:lineRule="auto"/>
        <w:ind w:left="0" w:right="0"/>
        <w:jc w:val="left"/>
      </w:pPr>
      <w:r>
        <w:rPr>
          <w:color w:val="000000"/>
          <w:sz w:val="24"/>
          <w:szCs w:val="24"/>
        </w:rPr>
        <w:t xml:space="preserve">At the beginning of the essay I showed Ravasz Bishop’s carrier to the end of World War II. Then I wrote about the Hungarian conditions after war. In this time Christian pastors preached about penitence and on the other hand they tried to reorganize spiritual life. I emphasized Ravasz’s activities in this works, his discussions with Russian generals and Hungarian politicians. Already before 1945 were attacks against Christian Churches, and I tried to present that threatening situation through correspondence among two reformed bishops László Ravasz and Imre Révész.</w:t>
      </w:r>
    </w:p>
    <w:p>
      <w:pPr>
        <w:widowControl w:val="on"/>
        <w:pBdr/>
        <w:spacing w:before="240" w:after="240" w:line="240" w:lineRule="auto"/>
        <w:ind w:left="0" w:right="0"/>
        <w:jc w:val="left"/>
      </w:pPr>
      <w:r>
        <w:rPr>
          <w:color w:val="000000"/>
          <w:sz w:val="24"/>
          <w:szCs w:val="24"/>
        </w:rPr>
        <w:t xml:space="preserve">The hard situation of Reformed Church became worse because of diversification of the Church. Secondly, they had to arrange their relationship with the government. There was an idealistic theory: „Free Church in a free state”, but its realization was impossible.</w:t>
      </w:r>
    </w:p>
    <w:p>
      <w:pPr>
        <w:widowControl w:val="on"/>
        <w:pBdr/>
        <w:spacing w:before="240" w:after="240" w:line="240" w:lineRule="auto"/>
        <w:ind w:left="0" w:right="0"/>
        <w:jc w:val="left"/>
      </w:pPr>
      <w:r>
        <w:rPr>
          <w:color w:val="000000"/>
          <w:sz w:val="24"/>
          <w:szCs w:val="24"/>
        </w:rPr>
        <w:t xml:space="preserve">In this work I dealt with he show trial against “Hungarian Community”, what partly affected the Reformed Church, too.</w:t>
      </w:r>
    </w:p>
    <w:p>
      <w:pPr>
        <w:widowControl w:val="on"/>
        <w:pBdr/>
        <w:spacing w:before="240" w:after="240" w:line="240" w:lineRule="auto"/>
        <w:ind w:left="0" w:right="0"/>
        <w:jc w:val="left"/>
      </w:pPr>
      <w:r>
        <w:rPr>
          <w:color w:val="000000"/>
          <w:sz w:val="24"/>
          <w:szCs w:val="24"/>
        </w:rPr>
        <w:t xml:space="preserve">There were also problems in the area of education. In 1947 the state tried to demolish compulsory religious education at schools. At this time they were not successful, but one year later Church schools were nationalized.</w:t>
      </w:r>
    </w:p>
    <w:p>
      <w:pPr>
        <w:widowControl w:val="on"/>
        <w:pBdr/>
        <w:spacing w:before="240" w:after="240" w:line="240" w:lineRule="auto"/>
        <w:ind w:left="0" w:right="0"/>
        <w:jc w:val="left"/>
      </w:pPr>
      <w:r>
        <w:rPr>
          <w:color w:val="000000"/>
          <w:sz w:val="24"/>
          <w:szCs w:val="24"/>
        </w:rPr>
        <w:t xml:space="preserve">László Ravasz was a very important person in the „Horthy system” and this caused, that he was „persona non grata” for the Left-wing politics. In the last chapter I wrote about causes of his resignation.</w:t>
      </w:r>
    </w:p>
    <w:p>
      <w:pPr>
        <w:widowControl w:val="on"/>
        <w:pBdr/>
        <w:spacing w:before="240" w:after="240" w:line="240" w:lineRule="auto"/>
        <w:ind w:left="0" w:right="0"/>
        <w:jc w:val="left"/>
      </w:pPr>
      <w:r>
        <w:rPr>
          <w:color w:val="000000"/>
          <w:sz w:val="24"/>
          <w:szCs w:val="24"/>
        </w:rPr>
        <w:t xml:space="preserve">Ravasz resigned from bishopric on 11th May 1948 , and herewith a new, hard era started for the Hungarian Reformed Church.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94177">
    <w:multiLevelType w:val="hybridMultilevel"/>
    <w:lvl w:ilvl="0" w:tplc="59197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94177">
    <w:abstractNumId w:val="79294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569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